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52"/>
          <w:szCs w:val="52"/>
        </w:rPr>
      </w:pPr>
      <w:r>
        <w:rPr>
          <w:rFonts w:hint="eastAsia"/>
          <w:sz w:val="52"/>
          <w:szCs w:val="52"/>
        </w:rPr>
        <w:t>2021年度</w:t>
      </w:r>
    </w:p>
    <w:p>
      <w:pPr>
        <w:pStyle w:val="9"/>
        <w:jc w:val="center"/>
        <w:rPr>
          <w:sz w:val="52"/>
          <w:szCs w:val="52"/>
        </w:rPr>
      </w:pPr>
      <w:r>
        <w:rPr>
          <w:rFonts w:hint="eastAsia"/>
          <w:w w:val="95"/>
          <w:sz w:val="52"/>
          <w:szCs w:val="52"/>
          <w:lang w:eastAsia="zh-CN"/>
        </w:rPr>
        <w:t>郴州市市场服务中心</w:t>
      </w:r>
      <w:r>
        <w:rPr>
          <w:rFonts w:hint="eastAsia"/>
          <w:w w:val="95"/>
          <w:sz w:val="52"/>
          <w:szCs w:val="52"/>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郴州市市场服务中心</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44"/>
          <w:szCs w:val="44"/>
        </w:rPr>
      </w:pPr>
      <w:r>
        <w:rPr>
          <w:rFonts w:hint="eastAsia"/>
          <w:sz w:val="44"/>
          <w:szCs w:val="44"/>
        </w:rPr>
        <w:t>第一部分</w:t>
      </w:r>
      <w:r>
        <w:rPr>
          <w:sz w:val="44"/>
          <w:szCs w:val="44"/>
        </w:rPr>
        <w:t xml:space="preserve"> </w:t>
      </w:r>
    </w:p>
    <w:p>
      <w:pPr>
        <w:pStyle w:val="9"/>
        <w:jc w:val="center"/>
        <w:rPr>
          <w:sz w:val="44"/>
          <w:szCs w:val="44"/>
        </w:rPr>
      </w:pPr>
    </w:p>
    <w:p>
      <w:pPr>
        <w:pStyle w:val="9"/>
        <w:jc w:val="center"/>
        <w:rPr>
          <w:w w:val="95"/>
          <w:sz w:val="44"/>
          <w:szCs w:val="44"/>
        </w:rPr>
      </w:pPr>
      <w:r>
        <w:rPr>
          <w:rFonts w:hint="eastAsia"/>
          <w:w w:val="95"/>
          <w:sz w:val="44"/>
          <w:szCs w:val="44"/>
          <w:lang w:eastAsia="zh-CN"/>
        </w:rPr>
        <w:t>郴州市市场服务中心</w:t>
      </w:r>
      <w:r>
        <w:rPr>
          <w:rFonts w:hint="eastAsia"/>
          <w:w w:val="95"/>
          <w:sz w:val="44"/>
          <w:szCs w:val="4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（一）</w:t>
      </w:r>
      <w:r>
        <w:rPr>
          <w:rFonts w:hint="eastAsia" w:cs="仿宋" w:asciiTheme="minorEastAsia" w:hAnsiTheme="minorEastAsia"/>
          <w:color w:val="000000"/>
          <w:sz w:val="32"/>
          <w:szCs w:val="32"/>
        </w:rPr>
        <w:t>负责罗家井农贸市场、下湄桥市场等市场的日常经营管理服务工作</w:t>
      </w:r>
      <w:r>
        <w:rPr>
          <w:rFonts w:hint="eastAsia" w:cs="仿宋" w:asciiTheme="minorEastAsia" w:hAnsiTheme="minorEastAsia"/>
          <w:color w:val="000000"/>
          <w:sz w:val="32"/>
          <w:szCs w:val="32"/>
          <w:lang w:eastAsia="zh-CN"/>
        </w:rPr>
        <w:t>；</w:t>
      </w:r>
    </w:p>
    <w:p>
      <w:pPr>
        <w:ind w:firstLine="800" w:firstLineChars="250"/>
        <w:jc w:val="left"/>
        <w:rPr>
          <w:rFonts w:asciiTheme="minorEastAsia" w:hAnsiTheme="minorEastAsia"/>
          <w:sz w:val="32"/>
          <w:szCs w:val="32"/>
        </w:rPr>
      </w:pPr>
      <w:r>
        <w:rPr>
          <w:rFonts w:hint="eastAsia" w:asciiTheme="minorEastAsia" w:hAnsiTheme="minorEastAsia"/>
          <w:sz w:val="32"/>
          <w:szCs w:val="32"/>
        </w:rPr>
        <w:t>（二）</w:t>
      </w:r>
      <w:r>
        <w:rPr>
          <w:rFonts w:hint="eastAsia" w:cs="仿宋" w:asciiTheme="minorEastAsia" w:hAnsiTheme="minorEastAsia"/>
          <w:color w:val="000000"/>
          <w:sz w:val="32"/>
          <w:szCs w:val="32"/>
        </w:rPr>
        <w:t>按市政府要求做好北湖综合市场、七星大市场等市场的商户搬迁工作。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10"/>
        <w:spacing w:line="600" w:lineRule="exact"/>
        <w:ind w:firstLine="640"/>
        <w:rPr>
          <w:rFonts w:cs="仿宋" w:asciiTheme="minorEastAsia" w:hAnsiTheme="minorEastAsia"/>
          <w:color w:val="000000"/>
          <w:sz w:val="32"/>
          <w:szCs w:val="32"/>
        </w:rPr>
      </w:pPr>
      <w:r>
        <w:rPr>
          <w:rFonts w:hint="eastAsia" w:asciiTheme="minorEastAsia" w:hAnsiTheme="minorEastAsia"/>
          <w:bCs/>
          <w:kern w:val="0"/>
          <w:sz w:val="32"/>
          <w:szCs w:val="32"/>
        </w:rPr>
        <w:t>（一）机构设置。</w:t>
      </w:r>
      <w:r>
        <w:rPr>
          <w:rFonts w:hint="eastAsia" w:asciiTheme="minorEastAsia" w:hAnsiTheme="minorEastAsia"/>
          <w:bCs/>
          <w:kern w:val="0"/>
          <w:sz w:val="32"/>
          <w:szCs w:val="32"/>
          <w:lang w:eastAsia="zh-CN"/>
        </w:rPr>
        <w:t>郴州市市场服务中心</w:t>
      </w:r>
      <w:r>
        <w:rPr>
          <w:rFonts w:hint="eastAsia" w:asciiTheme="minorEastAsia" w:hAnsiTheme="minorEastAsia"/>
          <w:bCs/>
          <w:kern w:val="0"/>
          <w:sz w:val="32"/>
          <w:szCs w:val="32"/>
        </w:rPr>
        <w:t>内设机构包括：</w:t>
      </w:r>
      <w:r>
        <w:rPr>
          <w:rFonts w:hint="eastAsia" w:cs="仿宋" w:asciiTheme="minorEastAsia" w:hAnsiTheme="minorEastAsia"/>
          <w:color w:val="000000"/>
          <w:sz w:val="32"/>
          <w:szCs w:val="32"/>
        </w:rPr>
        <w:t>办公室、人事科、财务科、安全维护科、市场转型升级科、罗家井市场服务部、下湄桥市场服务部、七星市场服务部。</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郴州市市场服务中心</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郴州市市场服务中心</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hAnsi="黑体" w:eastAsia="黑体" w:cs="黑体"/>
          <w:sz w:val="44"/>
          <w:szCs w:val="44"/>
        </w:rPr>
      </w:pPr>
      <w:r>
        <w:rPr>
          <w:rFonts w:hint="eastAsia" w:ascii="黑体" w:hAnsi="黑体" w:eastAsia="黑体" w:cs="黑体"/>
          <w:sz w:val="44"/>
          <w:szCs w:val="44"/>
        </w:rPr>
        <w:t>第二部分</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14081"/>
      </w:tblGrid>
      <w:tr>
        <w:tblPrEx>
          <w:tblCellMar>
            <w:top w:w="0" w:type="dxa"/>
            <w:left w:w="108" w:type="dxa"/>
            <w:bottom w:w="0" w:type="dxa"/>
            <w:right w:w="108" w:type="dxa"/>
          </w:tblCellMar>
        </w:tblPrEx>
        <w:trPr>
          <w:trHeight w:val="360" w:hRule="atLeast"/>
        </w:trPr>
        <w:tc>
          <w:tcPr>
            <w:tcW w:w="14081" w:type="dxa"/>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bl>
            <w:tblPr>
              <w:tblStyle w:val="5"/>
              <w:tblW w:w="13777"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4117"/>
              <w:gridCol w:w="5"/>
              <w:gridCol w:w="556"/>
              <w:gridCol w:w="5"/>
              <w:gridCol w:w="2198"/>
              <w:gridCol w:w="5"/>
              <w:gridCol w:w="4117"/>
              <w:gridCol w:w="5"/>
              <w:gridCol w:w="556"/>
              <w:gridCol w:w="5"/>
              <w:gridCol w:w="2198"/>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00" w:hRule="atLeast"/>
              </w:trPr>
              <w:tc>
                <w:tcPr>
                  <w:tcW w:w="4122"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1"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0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122"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1"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03" w:type="dxa"/>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00" w:hRule="atLeast"/>
              </w:trPr>
              <w:tc>
                <w:tcPr>
                  <w:tcW w:w="4122" w:type="dxa"/>
                  <w:gridSpan w:val="2"/>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部门：郴州市市场服务中心</w:t>
                  </w:r>
                </w:p>
              </w:tc>
              <w:tc>
                <w:tcPr>
                  <w:tcW w:w="561"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03" w:type="dxa"/>
                  <w:gridSpan w:val="2"/>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4122"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1"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03" w:type="dxa"/>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6886"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886"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0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0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1"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0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1"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0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2,407.87</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2,407.87</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222.12</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22"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203"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4122"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2,629.99</w:t>
                  </w:r>
                </w:p>
              </w:tc>
              <w:tc>
                <w:tcPr>
                  <w:tcW w:w="412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1"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20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2,629.99</w:t>
                  </w:r>
                </w:p>
              </w:tc>
            </w:tr>
          </w:tbl>
          <w:p>
            <w:pPr>
              <w:widowControl/>
              <w:jc w:val="center"/>
              <w:rPr>
                <w:rFonts w:ascii="华文中宋" w:hAnsi="华文中宋" w:eastAsia="华文中宋" w:cs="宋体"/>
                <w:color w:val="000000"/>
                <w:kern w:val="0"/>
                <w:sz w:val="32"/>
                <w:szCs w:val="32"/>
              </w:rPr>
            </w:pPr>
          </w:p>
        </w:tc>
      </w:tr>
      <w:tr>
        <w:tblPrEx>
          <w:tblCellMar>
            <w:top w:w="0" w:type="dxa"/>
            <w:left w:w="108" w:type="dxa"/>
            <w:bottom w:w="0" w:type="dxa"/>
            <w:right w:w="108" w:type="dxa"/>
          </w:tblCellMar>
        </w:tblPrEx>
        <w:trPr>
          <w:trHeight w:val="1020" w:hRule="atLeast"/>
        </w:trPr>
        <w:tc>
          <w:tcPr>
            <w:tcW w:w="14081" w:type="dxa"/>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4402" w:type="dxa"/>
        <w:tblInd w:w="0" w:type="dxa"/>
        <w:tblLayout w:type="fixed"/>
        <w:tblCellMar>
          <w:top w:w="0" w:type="dxa"/>
          <w:left w:w="0" w:type="dxa"/>
          <w:bottom w:w="0" w:type="dxa"/>
          <w:right w:w="0" w:type="dxa"/>
        </w:tblCellMar>
      </w:tblPr>
      <w:tblGrid>
        <w:gridCol w:w="14402"/>
      </w:tblGrid>
      <w:tr>
        <w:tblPrEx>
          <w:tblCellMar>
            <w:top w:w="0" w:type="dxa"/>
            <w:left w:w="0" w:type="dxa"/>
            <w:bottom w:w="0" w:type="dxa"/>
            <w:right w:w="0" w:type="dxa"/>
          </w:tblCellMar>
        </w:tblPrEx>
        <w:trPr>
          <w:trHeight w:val="435" w:hRule="atLeast"/>
        </w:trPr>
        <w:tc>
          <w:tcPr>
            <w:tcW w:w="14402"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收入决算表</w:t>
            </w:r>
          </w:p>
          <w:tbl>
            <w:tblPr>
              <w:tblStyle w:val="5"/>
              <w:tblW w:w="14284"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978"/>
              <w:gridCol w:w="3881"/>
              <w:gridCol w:w="1779"/>
              <w:gridCol w:w="5"/>
              <w:gridCol w:w="1774"/>
              <w:gridCol w:w="5"/>
              <w:gridCol w:w="1229"/>
              <w:gridCol w:w="5"/>
              <w:gridCol w:w="843"/>
              <w:gridCol w:w="5"/>
              <w:gridCol w:w="843"/>
              <w:gridCol w:w="5"/>
              <w:gridCol w:w="1614"/>
              <w:gridCol w:w="5"/>
              <w:gridCol w:w="130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82" w:hRule="atLeast"/>
              </w:trPr>
              <w:tc>
                <w:tcPr>
                  <w:tcW w:w="6643"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lang w:eastAsia="zh-CN"/>
                    </w:rPr>
                  </w:pPr>
                </w:p>
              </w:tc>
              <w:tc>
                <w:tcPr>
                  <w:tcW w:w="1779"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34"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48"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48"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19"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8" w:type="dxa"/>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00" w:hRule="atLeast"/>
              </w:trPr>
              <w:tc>
                <w:tcPr>
                  <w:tcW w:w="6643" w:type="dxa"/>
                  <w:gridSpan w:val="4"/>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部门：郴州市市场服务中心</w:t>
                  </w:r>
                </w:p>
              </w:tc>
              <w:tc>
                <w:tcPr>
                  <w:tcW w:w="1779" w:type="dxa"/>
                  <w:gridSpan w:val="2"/>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2021年度</w:t>
                  </w:r>
                </w:p>
              </w:tc>
              <w:tc>
                <w:tcPr>
                  <w:tcW w:w="1234"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lang w:eastAsia="zh-CN"/>
                    </w:rPr>
                  </w:pPr>
                </w:p>
              </w:tc>
              <w:tc>
                <w:tcPr>
                  <w:tcW w:w="848"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lang w:eastAsia="zh-CN"/>
                    </w:rPr>
                  </w:pPr>
                </w:p>
              </w:tc>
              <w:tc>
                <w:tcPr>
                  <w:tcW w:w="848"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lang w:eastAsia="zh-CN"/>
                    </w:rPr>
                  </w:pPr>
                </w:p>
              </w:tc>
              <w:tc>
                <w:tcPr>
                  <w:tcW w:w="1619"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lang w:eastAsia="zh-CN"/>
                    </w:rPr>
                  </w:pPr>
                </w:p>
              </w:tc>
              <w:tc>
                <w:tcPr>
                  <w:tcW w:w="1308" w:type="dxa"/>
                  <w:gridSpan w:val="2"/>
                  <w:tcBorders>
                    <w:top w:val="nil"/>
                    <w:left w:val="nil"/>
                    <w:bottom w:val="single" w:color="808080" w:sz="4" w:space="0"/>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86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7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79"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234"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848"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848"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619"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308"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88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79"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34"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19"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8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79"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34"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19"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8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79"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34"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4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19"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8"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86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7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79"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34"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8"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8"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9"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08"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4864"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2,407.87</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2,407.87</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1,998.94</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1,998.94</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20113</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商贸事务</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1,998.94</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1,998.94</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2011301</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84.97</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84.97</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2011302</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515.10</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515.10</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2011350</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1,219.72</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1,219.72</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2011399</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其他商贸事务支出</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179.15</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179.15</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106.12</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106.12</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59.86</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59.86</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商业服务业等支出</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21602</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商业流通事务</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2160299</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其他商业流通事务支出</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8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7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77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23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983"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881"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7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177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123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4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19"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08"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bl>
          <w:p>
            <w:pPr>
              <w:jc w:val="center"/>
              <w:rPr>
                <w:rFonts w:hint="eastAsia" w:ascii="华文中宋" w:hAnsi="华文中宋" w:eastAsia="华文中宋"/>
                <w:color w:val="000000"/>
                <w:sz w:val="32"/>
                <w:szCs w:val="32"/>
              </w:rPr>
            </w:pPr>
          </w:p>
        </w:tc>
      </w:tr>
      <w:tr>
        <w:tblPrEx>
          <w:tblCellMar>
            <w:top w:w="0" w:type="dxa"/>
            <w:left w:w="0" w:type="dxa"/>
            <w:bottom w:w="0" w:type="dxa"/>
            <w:right w:w="0" w:type="dxa"/>
          </w:tblCellMar>
        </w:tblPrEx>
        <w:trPr>
          <w:trHeight w:val="615" w:hRule="atLeast"/>
        </w:trPr>
        <w:tc>
          <w:tcPr>
            <w:tcW w:w="14402" w:type="dxa"/>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tbl>
      <w:tblPr>
        <w:tblStyle w:val="5"/>
        <w:tblW w:w="1519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56"/>
        <w:gridCol w:w="329"/>
        <w:gridCol w:w="240"/>
        <w:gridCol w:w="3884"/>
        <w:gridCol w:w="1553"/>
        <w:gridCol w:w="1357"/>
        <w:gridCol w:w="1028"/>
        <w:gridCol w:w="1102"/>
        <w:gridCol w:w="713"/>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192" w:type="dxa"/>
            <w:gridSpan w:val="10"/>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8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0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1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0"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5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部门：郴州市市场服务中心</w:t>
            </w:r>
          </w:p>
        </w:tc>
        <w:tc>
          <w:tcPr>
            <w:tcW w:w="32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84"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3"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35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0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13"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0"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730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5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35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2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10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71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21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42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88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5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0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1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84"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5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0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1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42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84"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5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5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0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1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0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5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0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1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0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2,629.99</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2,126.95</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503.04</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2,033.27</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1,790.69</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242.58</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20113</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商贸事务</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2,033.27</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1,790.69</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242.58</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2011301</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84.97</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84.97</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2011302</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515.09</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486.00</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2011350</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1,219.72</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1,219.72</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2011399</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其他商贸事务支出</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213.49</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213.49</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106.12</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106.12</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59.87</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59.87</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商业服务业等支出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21602</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商业流通事务</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2160299</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其他商业流通事务支出</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22399</w:t>
            </w:r>
          </w:p>
        </w:tc>
        <w:tc>
          <w:tcPr>
            <w:tcW w:w="38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其他国有资本经营预算支出</w:t>
            </w:r>
          </w:p>
        </w:tc>
        <w:tc>
          <w:tcPr>
            <w:tcW w:w="15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3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187.78</w:t>
            </w:r>
          </w:p>
        </w:tc>
        <w:tc>
          <w:tcPr>
            <w:tcW w:w="110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2239999</w:t>
            </w:r>
          </w:p>
        </w:tc>
        <w:tc>
          <w:tcPr>
            <w:tcW w:w="388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其他国有资本经营预算支出</w:t>
            </w:r>
          </w:p>
        </w:tc>
        <w:tc>
          <w:tcPr>
            <w:tcW w:w="155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c>
          <w:tcPr>
            <w:tcW w:w="135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c>
          <w:tcPr>
            <w:tcW w:w="110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1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192"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5"/>
        <w:tblW w:w="14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70"/>
        <w:gridCol w:w="465"/>
        <w:gridCol w:w="1016"/>
        <w:gridCol w:w="3660"/>
        <w:gridCol w:w="1151"/>
        <w:gridCol w:w="1016"/>
        <w:gridCol w:w="1016"/>
        <w:gridCol w:w="1005"/>
        <w:gridCol w:w="1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578" w:type="dxa"/>
            <w:gridSpan w:val="9"/>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79"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部门：郴州市市场服务中心</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79"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9827"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27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w:t>
            </w:r>
          </w:p>
        </w:tc>
        <w:tc>
          <w:tcPr>
            <w:tcW w:w="11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97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70"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4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60"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7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2,407.87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2,407.87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2,629.99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2,442.21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222.12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34.34</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9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9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9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2,629.99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2,629.99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2,442.21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7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97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79" w:type="dxa"/>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bl>
    <w:p>
      <w:pPr>
        <w:widowControl/>
        <w:jc w:val="left"/>
        <w:rPr>
          <w:rFonts w:ascii="Times New Roman" w:hAnsi="Times New Roman" w:eastAsia="黑体" w:cs="Times New Roman"/>
          <w:bCs/>
          <w:kern w:val="0"/>
          <w:sz w:val="21"/>
          <w:szCs w:val="21"/>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ascii="Times New Roman" w:hAnsi="Times New Roman" w:eastAsia="方正小标宋_GBK" w:cs="Times New Roman"/>
          <w:color w:val="000000"/>
          <w:kern w:val="0"/>
          <w:sz w:val="18"/>
          <w:szCs w:val="18"/>
        </w:rPr>
      </w:pPr>
    </w:p>
    <w:p>
      <w:pPr>
        <w:widowControl/>
        <w:rPr>
          <w:rFonts w:hint="eastAsia" w:ascii="黑体" w:hAnsi="宋体" w:eastAsia="黑体" w:cs="黑体"/>
          <w:i w:val="0"/>
          <w:iCs w:val="0"/>
          <w:color w:val="000000"/>
          <w:kern w:val="0"/>
          <w:sz w:val="30"/>
          <w:szCs w:val="30"/>
          <w:u w:val="none"/>
          <w:lang w:val="en-US" w:eastAsia="zh-CN" w:bidi="ar"/>
        </w:rPr>
      </w:pPr>
    </w:p>
    <w:tbl>
      <w:tblPr>
        <w:tblStyle w:val="5"/>
        <w:tblpPr w:leftFromText="180" w:rightFromText="180" w:vertAnchor="text" w:horzAnchor="page" w:tblpX="831" w:tblpY="762"/>
        <w:tblOverlap w:val="never"/>
        <w:tblW w:w="149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56"/>
        <w:gridCol w:w="615"/>
        <w:gridCol w:w="1302"/>
        <w:gridCol w:w="4435"/>
        <w:gridCol w:w="2190"/>
        <w:gridCol w:w="165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56" w:type="dxa"/>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1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3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60"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5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部门：郴州市市场服务中心</w:t>
            </w:r>
          </w:p>
        </w:tc>
        <w:tc>
          <w:tcPr>
            <w:tcW w:w="61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3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219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60"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208"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70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77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4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6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86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7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43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77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43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9208"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9208"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2,442.21</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2,126.95</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2,033.27</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1,790.69</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20113</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商贸事务</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2,033.27</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1,790.69</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2011301</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84.97</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84.97</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2011302</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515.09</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486.00</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2011350</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1,219.72</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1,219.72</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2011399</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其他商贸事务支出</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213.49</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187.79</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21.80</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106.12</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106.12</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59.87</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59.87</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61.56</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61.56</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商业服务业等支出</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21602</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商业流通事务</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2160299</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其他商业流通事务支出</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44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86.91</w:t>
            </w:r>
          </w:p>
        </w:tc>
        <w:tc>
          <w:tcPr>
            <w:tcW w:w="1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4773"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4435"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16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86.91</w:t>
            </w:r>
          </w:p>
        </w:tc>
        <w:tc>
          <w:tcPr>
            <w:tcW w:w="18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908"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widowControl/>
        <w:jc w:val="center"/>
        <w:rPr>
          <w:rFonts w:hint="eastAsia" w:asciiTheme="minorHAnsi" w:hAnsiTheme="minorHAnsi" w:eastAsiaTheme="minorEastAsia" w:cstheme="minorBidi"/>
          <w:kern w:val="2"/>
          <w:sz w:val="21"/>
          <w:szCs w:val="22"/>
          <w:lang w:val="en-US" w:eastAsia="zh-CN" w:bidi="ar-SA"/>
        </w:rPr>
      </w:pPr>
      <w:r>
        <w:rPr>
          <w:rFonts w:hint="eastAsia" w:ascii="黑体" w:hAnsi="宋体" w:eastAsia="黑体" w:cs="黑体"/>
          <w:i w:val="0"/>
          <w:iCs w:val="0"/>
          <w:color w:val="000000"/>
          <w:kern w:val="0"/>
          <w:sz w:val="30"/>
          <w:szCs w:val="30"/>
          <w:u w:val="none"/>
          <w:lang w:val="en-US" w:eastAsia="zh-CN" w:bidi="ar"/>
        </w:rPr>
        <w:t>一般公共预算财政拨款支出决算表</w:t>
      </w:r>
    </w:p>
    <w:tbl>
      <w:tblPr>
        <w:tblStyle w:val="5"/>
        <w:tblpPr w:leftFromText="180" w:rightFromText="180" w:vertAnchor="text" w:horzAnchor="page" w:tblpX="651" w:tblpY="144"/>
        <w:tblOverlap w:val="never"/>
        <w:tblW w:w="15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3"/>
        <w:gridCol w:w="3480"/>
        <w:gridCol w:w="1290"/>
        <w:gridCol w:w="1065"/>
        <w:gridCol w:w="2322"/>
        <w:gridCol w:w="933"/>
        <w:gridCol w:w="765"/>
        <w:gridCol w:w="3634"/>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5521" w:type="dxa"/>
            <w:gridSpan w:val="9"/>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4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6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6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3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69"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243" w:type="dxa"/>
            <w:gridSpan w:val="2"/>
            <w:tcBorders>
              <w:top w:val="nil"/>
              <w:left w:val="nil"/>
              <w:bottom w:val="single" w:color="808080" w:sz="4" w:space="0"/>
              <w:right w:val="nil"/>
            </w:tcBorders>
            <w:shd w:val="clear" w:color="auto" w:fill="FFFFFF"/>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部门：郴州市市场服务中心</w:t>
            </w:r>
          </w:p>
        </w:tc>
        <w:tc>
          <w:tcPr>
            <w:tcW w:w="129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6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22" w:type="dxa"/>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933"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6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34"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69"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348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0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232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3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363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63"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4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2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3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1,759.52</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205.80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480.79</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423.56</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363.42</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136.87</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69.42</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104.03</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149.87</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161.63</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149.38</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44.23</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7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363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76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63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2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4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63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2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3"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48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3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9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79.91</w:t>
            </w:r>
          </w:p>
        </w:tc>
        <w:tc>
          <w:tcPr>
            <w:tcW w:w="76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634"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2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4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2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1,921.15</w:t>
            </w:r>
          </w:p>
        </w:tc>
        <w:tc>
          <w:tcPr>
            <w:tcW w:w="871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26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521"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bookmarkEnd w:id="1"/>
    <w:p>
      <w:pPr>
        <w:widowControl/>
        <w:jc w:val="left"/>
        <w:rPr>
          <w:rFonts w:ascii="Times New Roman" w:hAnsi="Times New Roman" w:eastAsia="宋体" w:cs="Times New Roman"/>
          <w:color w:val="000000"/>
          <w:kern w:val="0"/>
          <w:sz w:val="20"/>
          <w:szCs w:val="20"/>
        </w:rPr>
      </w:pPr>
      <w:r>
        <w:rPr>
          <w:rFonts w:hint="eastAsia" w:ascii="Times New Roman" w:hAnsi="Times New Roman" w:eastAsia="仿宋_GB2312" w:cs="Times New Roman"/>
          <w:color w:val="000000"/>
          <w:kern w:val="0"/>
          <w:szCs w:val="21"/>
        </w:rPr>
        <w:t xml:space="preserve">   </w:t>
      </w: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郴州市市场服务中心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公开07表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5.80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1.80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1.63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1.43</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0.20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郴州市市场服务中心</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(本单位</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eastAsia="zh-CN"/>
              </w:rPr>
              <w:t>郴州市市场服务中心</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223</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eastAsia="zh-CN"/>
              </w:rPr>
              <w:t>国有资本经营预算支出</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187.78</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187.68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0.10</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22399</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eastAsia="zh-CN"/>
              </w:rPr>
              <w:t>其他国有资本经营预算支出</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187.78</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187.68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0.10</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2239999</w:t>
            </w: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其他国有资本经营预算支出</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187.78</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187.68</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0.10</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44"/>
          <w:szCs w:val="44"/>
        </w:rPr>
      </w:pPr>
      <w:r>
        <w:rPr>
          <w:rFonts w:hint="eastAsia"/>
          <w:sz w:val="44"/>
          <w:szCs w:val="44"/>
        </w:rPr>
        <w:t>第三部分</w:t>
      </w:r>
    </w:p>
    <w:p>
      <w:pPr>
        <w:pStyle w:val="9"/>
        <w:jc w:val="center"/>
        <w:rPr>
          <w:sz w:val="44"/>
          <w:szCs w:val="44"/>
        </w:rPr>
      </w:pPr>
    </w:p>
    <w:p>
      <w:pPr>
        <w:pStyle w:val="9"/>
        <w:jc w:val="center"/>
        <w:rPr>
          <w:sz w:val="44"/>
          <w:szCs w:val="44"/>
        </w:rPr>
      </w:pPr>
      <w:r>
        <w:rPr>
          <w:sz w:val="44"/>
          <w:szCs w:val="44"/>
        </w:rPr>
        <w:t>20</w:t>
      </w:r>
      <w:r>
        <w:rPr>
          <w:rFonts w:hint="eastAsia"/>
          <w:sz w:val="44"/>
          <w:szCs w:val="44"/>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2629.99</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559.92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17.55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国有资本经营预算拨款收入减少。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2407.87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2407.87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2629.99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2126.95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80.87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503.04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19.13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2629.99</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296.21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10.12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项目支出减少。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2442.21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92.86</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844.36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52.84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上年度国有资本经营预算财政拨款支出</w:t>
      </w:r>
      <w:r>
        <w:rPr>
          <w:rFonts w:hint="eastAsia" w:asciiTheme="minorEastAsia" w:hAnsiTheme="minorEastAsia" w:eastAsiaTheme="minorEastAsia"/>
          <w:sz w:val="32"/>
          <w:szCs w:val="32"/>
          <w:lang w:val="en-US" w:eastAsia="zh-CN"/>
        </w:rPr>
        <w:t>905.24万元。</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2442.21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2033.27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83.26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187.79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7.69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61.56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商务服务业等（类）支出</w:t>
      </w:r>
      <w:r>
        <w:rPr>
          <w:rFonts w:hint="eastAsia" w:asciiTheme="minorEastAsia" w:hAnsiTheme="minorEastAsia" w:eastAsiaTheme="minorEastAsia"/>
          <w:sz w:val="32"/>
          <w:szCs w:val="32"/>
          <w:lang w:val="en-US" w:eastAsia="zh-CN"/>
        </w:rPr>
        <w:t>72.68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住房保障（类）支出</w:t>
      </w:r>
      <w:r>
        <w:rPr>
          <w:rFonts w:hint="eastAsia" w:asciiTheme="minorEastAsia" w:hAnsiTheme="minorEastAsia" w:eastAsiaTheme="minorEastAsia"/>
          <w:sz w:val="32"/>
          <w:szCs w:val="32"/>
          <w:lang w:val="en-US" w:eastAsia="zh-CN"/>
        </w:rPr>
        <w:t>86.91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3.56</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1570.99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2442.21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155.46</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1、一般公共服务（类）商贸事务（款）行政运行（项）。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84.97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比例无法计算，比预算增加</w:t>
      </w:r>
      <w:r>
        <w:rPr>
          <w:rFonts w:hint="eastAsia" w:asciiTheme="minorEastAsia" w:hAnsiTheme="minorEastAsia" w:eastAsiaTheme="minorEastAsia"/>
          <w:sz w:val="32"/>
          <w:szCs w:val="32"/>
          <w:lang w:val="en-US" w:eastAsia="zh-CN"/>
        </w:rPr>
        <w:t>84.97万元。</w:t>
      </w:r>
      <w:r>
        <w:rPr>
          <w:rFonts w:hint="eastAsia" w:asciiTheme="minorEastAsia" w:hAnsiTheme="minorEastAsia" w:eastAsiaTheme="minorEastAsia"/>
          <w:sz w:val="32"/>
          <w:szCs w:val="32"/>
        </w:rPr>
        <w:t>主要是追加上年度市直单位综合绩效考核奖励剩余部分。</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、一般公共服务（类）商贸事务（款）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515.09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比例无法计算，比预算增加</w:t>
      </w:r>
      <w:r>
        <w:rPr>
          <w:rFonts w:hint="eastAsia" w:asciiTheme="minorEastAsia" w:hAnsiTheme="minorEastAsia" w:eastAsiaTheme="minorEastAsia"/>
          <w:sz w:val="32"/>
          <w:szCs w:val="32"/>
          <w:lang w:val="en-US" w:eastAsia="zh-CN"/>
        </w:rPr>
        <w:t>515.09万元。</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用非税收入弥补经费缺口</w:t>
      </w:r>
      <w:r>
        <w:rPr>
          <w:rFonts w:hint="eastAsia" w:asciiTheme="minorEastAsia" w:hAnsiTheme="minorEastAsia" w:eastAsiaTheme="minorEastAsia"/>
          <w:sz w:val="32"/>
          <w:szCs w:val="32"/>
          <w:lang w:val="en-US" w:eastAsia="zh-CN"/>
        </w:rPr>
        <w:t>486万元及</w:t>
      </w:r>
      <w:r>
        <w:rPr>
          <w:rFonts w:hint="eastAsia" w:asciiTheme="minorEastAsia" w:hAnsiTheme="minorEastAsia" w:eastAsiaTheme="minorEastAsia"/>
          <w:sz w:val="32"/>
          <w:szCs w:val="32"/>
        </w:rPr>
        <w:t>追加</w:t>
      </w:r>
      <w:r>
        <w:rPr>
          <w:rFonts w:hint="eastAsia" w:asciiTheme="minorEastAsia" w:hAnsiTheme="minorEastAsia" w:eastAsiaTheme="minorEastAsia"/>
          <w:sz w:val="32"/>
          <w:szCs w:val="32"/>
          <w:lang w:eastAsia="zh-CN"/>
        </w:rPr>
        <w:t>七星大市场钢架结构雨棚拆除费用</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一般公共服务（类）商贸事务（款）</w:t>
      </w:r>
      <w:r>
        <w:rPr>
          <w:rFonts w:hint="eastAsia" w:asciiTheme="minorEastAsia" w:hAnsiTheme="minorEastAsia" w:eastAsiaTheme="minorEastAsia"/>
          <w:sz w:val="32"/>
          <w:szCs w:val="32"/>
          <w:lang w:eastAsia="zh-CN"/>
        </w:rPr>
        <w:t>事业运行</w:t>
      </w:r>
      <w:r>
        <w:rPr>
          <w:rFonts w:hint="eastAsia" w:asciiTheme="minorEastAsia" w:hAnsiTheme="minorEastAsia" w:eastAsiaTheme="minorEastAsia"/>
          <w:sz w:val="32"/>
          <w:szCs w:val="32"/>
        </w:rPr>
        <w:t>（项）。</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1226.90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1219.72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99.41</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离岗创业人员停发工资。</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一般公共服务（类）商贸事务（款）</w:t>
      </w:r>
      <w:r>
        <w:rPr>
          <w:rFonts w:hint="eastAsia" w:asciiTheme="minorEastAsia" w:hAnsiTheme="minorEastAsia" w:eastAsiaTheme="minorEastAsia"/>
          <w:sz w:val="32"/>
          <w:szCs w:val="32"/>
          <w:lang w:eastAsia="zh-CN"/>
        </w:rPr>
        <w:t>其他商贸事务支出</w:t>
      </w:r>
      <w:r>
        <w:rPr>
          <w:rFonts w:hint="eastAsia" w:asciiTheme="minorEastAsia" w:hAnsiTheme="minorEastAsia" w:eastAsiaTheme="minorEastAsia"/>
          <w:sz w:val="32"/>
          <w:szCs w:val="32"/>
        </w:rPr>
        <w:t>（项）。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213.49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比例无法计算，比预算增加</w:t>
      </w:r>
      <w:r>
        <w:rPr>
          <w:rFonts w:hint="eastAsia" w:asciiTheme="minorEastAsia" w:hAnsiTheme="minorEastAsia" w:eastAsiaTheme="minorEastAsia"/>
          <w:sz w:val="32"/>
          <w:szCs w:val="32"/>
          <w:lang w:val="en-US" w:eastAsia="zh-CN"/>
        </w:rPr>
        <w:t>213.49万元。</w:t>
      </w:r>
      <w:r>
        <w:rPr>
          <w:rFonts w:hint="eastAsia" w:asciiTheme="minorEastAsia" w:hAnsiTheme="minorEastAsia" w:eastAsiaTheme="minorEastAsia"/>
          <w:sz w:val="32"/>
          <w:szCs w:val="32"/>
        </w:rPr>
        <w:t>主要是追加</w:t>
      </w:r>
      <w:r>
        <w:rPr>
          <w:rFonts w:hint="eastAsia" w:asciiTheme="minorEastAsia" w:hAnsiTheme="minorEastAsia" w:eastAsiaTheme="minorEastAsia"/>
          <w:sz w:val="32"/>
          <w:szCs w:val="32"/>
          <w:lang w:eastAsia="zh-CN"/>
        </w:rPr>
        <w:t>北湖市场（一期）转型升级后续资金</w:t>
      </w:r>
      <w:r>
        <w:rPr>
          <w:rFonts w:hint="eastAsia" w:asciiTheme="minorEastAsia" w:hAnsiTheme="minorEastAsia" w:eastAsiaTheme="minorEastAsia"/>
          <w:sz w:val="32"/>
          <w:szCs w:val="32"/>
        </w:rPr>
        <w:t>。</w:t>
      </w:r>
    </w:p>
    <w:p>
      <w:pPr>
        <w:spacing w:line="580" w:lineRule="exact"/>
        <w:ind w:firstLine="640" w:firstLineChars="200"/>
        <w:rPr>
          <w:rFonts w:asciiTheme="minorEastAsia" w:hAnsi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sz w:val="32"/>
          <w:szCs w:val="32"/>
        </w:rPr>
        <w:t>社会保障和就业支出（类）行政事业单位养老支出（款）事业单位离退休（项）。</w:t>
      </w:r>
    </w:p>
    <w:p>
      <w:pPr>
        <w:spacing w:line="580" w:lineRule="exact"/>
        <w:ind w:left="210" w:leftChars="100" w:firstLine="320" w:firstLineChars="100"/>
        <w:rPr>
          <w:rFonts w:hint="eastAsia" w:asciiTheme="minorEastAsia" w:hAnsiTheme="minorEastAsia"/>
          <w:sz w:val="32"/>
          <w:szCs w:val="32"/>
        </w:rPr>
      </w:pPr>
      <w:r>
        <w:rPr>
          <w:rFonts w:hint="eastAsia" w:asciiTheme="minorEastAsia" w:hAnsiTheme="minorEastAsia"/>
          <w:sz w:val="32"/>
          <w:szCs w:val="32"/>
        </w:rPr>
        <w:t>年初预算为</w:t>
      </w:r>
      <w:r>
        <w:rPr>
          <w:rFonts w:hint="eastAsia" w:asciiTheme="minorEastAsia" w:hAnsiTheme="minorEastAsia"/>
          <w:sz w:val="32"/>
          <w:szCs w:val="32"/>
          <w:lang w:val="en-US" w:eastAsia="zh-CN"/>
        </w:rPr>
        <w:t>21.80</w:t>
      </w:r>
      <w:r>
        <w:rPr>
          <w:rFonts w:hint="eastAsia" w:asciiTheme="minorEastAsia" w:hAnsiTheme="minorEastAsia"/>
          <w:sz w:val="32"/>
          <w:szCs w:val="32"/>
        </w:rPr>
        <w:t>万元，支出决算为</w:t>
      </w:r>
      <w:r>
        <w:rPr>
          <w:rFonts w:hint="eastAsia" w:asciiTheme="minorEastAsia" w:hAnsiTheme="minorEastAsia"/>
          <w:sz w:val="32"/>
          <w:szCs w:val="32"/>
          <w:lang w:val="en-US" w:eastAsia="zh-CN"/>
        </w:rPr>
        <w:t>21.80</w:t>
      </w:r>
      <w:r>
        <w:rPr>
          <w:rFonts w:hint="eastAsia" w:asciiTheme="minorEastAsia" w:hAnsiTheme="minorEastAsia"/>
          <w:sz w:val="32"/>
          <w:szCs w:val="32"/>
        </w:rPr>
        <w:t>万元，完成年初预算的100%。</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lang w:val="en-US" w:eastAsia="zh-CN"/>
        </w:rPr>
        <w:t>6、</w:t>
      </w:r>
      <w:r>
        <w:rPr>
          <w:rFonts w:hint="eastAsia" w:asciiTheme="minorEastAsia" w:hAnsiTheme="minorEastAsia"/>
          <w:sz w:val="32"/>
          <w:szCs w:val="32"/>
        </w:rPr>
        <w:t>社会保障和就业支出（类）行政事业单位养老支出（款）机关事业单位基本养老保险缴费支出（项）。</w:t>
      </w:r>
    </w:p>
    <w:p>
      <w:pPr>
        <w:spacing w:line="58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sz w:val="32"/>
          <w:szCs w:val="32"/>
        </w:rPr>
        <w:t>年初预算为</w:t>
      </w:r>
      <w:r>
        <w:rPr>
          <w:rFonts w:hint="eastAsia" w:asciiTheme="minorEastAsia" w:hAnsiTheme="minorEastAsia"/>
          <w:sz w:val="32"/>
          <w:szCs w:val="32"/>
          <w:lang w:val="en-US" w:eastAsia="zh-CN"/>
        </w:rPr>
        <w:t>115.88</w:t>
      </w:r>
      <w:r>
        <w:rPr>
          <w:rFonts w:hint="eastAsia" w:asciiTheme="minorEastAsia" w:hAnsiTheme="minorEastAsia"/>
          <w:sz w:val="32"/>
          <w:szCs w:val="32"/>
        </w:rPr>
        <w:t>万元，支出决算为</w:t>
      </w:r>
      <w:r>
        <w:rPr>
          <w:rFonts w:hint="eastAsia" w:asciiTheme="minorEastAsia" w:hAnsiTheme="minorEastAsia"/>
          <w:sz w:val="32"/>
          <w:szCs w:val="32"/>
          <w:lang w:val="en-US" w:eastAsia="zh-CN"/>
        </w:rPr>
        <w:t>106.12</w:t>
      </w:r>
      <w:r>
        <w:rPr>
          <w:rFonts w:hint="eastAsia" w:asciiTheme="minorEastAsia" w:hAnsiTheme="minorEastAsia"/>
          <w:sz w:val="32"/>
          <w:szCs w:val="32"/>
        </w:rPr>
        <w:t>万元，完成年初预算的</w:t>
      </w:r>
      <w:r>
        <w:rPr>
          <w:rFonts w:hint="eastAsia" w:asciiTheme="minorEastAsia" w:hAnsiTheme="minorEastAsia"/>
          <w:sz w:val="32"/>
          <w:szCs w:val="32"/>
          <w:lang w:val="en-US" w:eastAsia="zh-CN"/>
        </w:rPr>
        <w:t>91.58</w:t>
      </w:r>
      <w:r>
        <w:rPr>
          <w:rFonts w:hint="eastAsia" w:asciiTheme="minorEastAsia" w:hAnsiTheme="minorEastAsia"/>
          <w:sz w:val="32"/>
          <w:szCs w:val="32"/>
        </w:rPr>
        <w:t>%</w:t>
      </w:r>
      <w:r>
        <w:rPr>
          <w:rFonts w:hint="eastAsia" w:asciiTheme="minorEastAsia" w:hAnsiTheme="minorEastAsia"/>
          <w:sz w:val="32"/>
          <w:szCs w:val="32"/>
          <w:lang w:eastAsia="zh-CN"/>
        </w:rPr>
        <w:t>，决算数小于年初预算数的主要原因是转隶</w:t>
      </w:r>
      <w:r>
        <w:rPr>
          <w:rFonts w:hint="eastAsia" w:asciiTheme="minorEastAsia" w:hAnsiTheme="minorEastAsia" w:eastAsiaTheme="minorEastAsia"/>
          <w:sz w:val="32"/>
          <w:szCs w:val="32"/>
          <w:lang w:eastAsia="zh-CN"/>
        </w:rPr>
        <w:t>人员</w:t>
      </w:r>
      <w:r>
        <w:rPr>
          <w:rFonts w:hint="eastAsia" w:asciiTheme="minorEastAsia" w:hAnsiTheme="minorEastAsia"/>
          <w:sz w:val="32"/>
          <w:szCs w:val="32"/>
          <w:lang w:eastAsia="zh-CN"/>
        </w:rPr>
        <w:t>经费调整</w:t>
      </w:r>
      <w:r>
        <w:rPr>
          <w:rFonts w:hint="eastAsia" w:asciiTheme="minorEastAsia" w:hAnsiTheme="minorEastAsia" w:eastAsiaTheme="minorEastAsia"/>
          <w:sz w:val="32"/>
          <w:szCs w:val="32"/>
          <w:lang w:eastAsia="zh-CN"/>
        </w:rPr>
        <w:t>。</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lang w:val="en-US" w:eastAsia="zh-CN"/>
        </w:rPr>
        <w:t>7</w:t>
      </w:r>
      <w:r>
        <w:rPr>
          <w:rFonts w:hint="eastAsia" w:asciiTheme="minorEastAsia" w:hAnsiTheme="minorEastAsia"/>
          <w:sz w:val="32"/>
          <w:szCs w:val="32"/>
        </w:rPr>
        <w:t>、社会保障和就业支出（类）行政事业单位养老支出（款）机关事业单位职业年金缴费支出（项）。</w:t>
      </w:r>
    </w:p>
    <w:p>
      <w:pPr>
        <w:spacing w:line="58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sz w:val="32"/>
          <w:szCs w:val="32"/>
        </w:rPr>
        <w:t>年初预算为</w:t>
      </w:r>
      <w:r>
        <w:rPr>
          <w:rFonts w:hint="eastAsia" w:asciiTheme="minorEastAsia" w:hAnsiTheme="minorEastAsia"/>
          <w:sz w:val="32"/>
          <w:szCs w:val="32"/>
          <w:lang w:val="en-US" w:eastAsia="zh-CN"/>
        </w:rPr>
        <w:t>57.94</w:t>
      </w:r>
      <w:r>
        <w:rPr>
          <w:rFonts w:hint="eastAsia" w:asciiTheme="minorEastAsia" w:hAnsiTheme="minorEastAsia"/>
          <w:sz w:val="32"/>
          <w:szCs w:val="32"/>
        </w:rPr>
        <w:t>万元，支出决算为</w:t>
      </w:r>
      <w:r>
        <w:rPr>
          <w:rFonts w:hint="eastAsia" w:asciiTheme="minorEastAsia" w:hAnsiTheme="minorEastAsia"/>
          <w:sz w:val="32"/>
          <w:szCs w:val="32"/>
          <w:lang w:val="en-US" w:eastAsia="zh-CN"/>
        </w:rPr>
        <w:t>59.87</w:t>
      </w:r>
      <w:r>
        <w:rPr>
          <w:rFonts w:hint="eastAsia" w:asciiTheme="minorEastAsia" w:hAnsiTheme="minorEastAsia"/>
          <w:sz w:val="32"/>
          <w:szCs w:val="32"/>
        </w:rPr>
        <w:t>万元，完成年初预算的</w:t>
      </w:r>
      <w:r>
        <w:rPr>
          <w:rFonts w:hint="eastAsia" w:asciiTheme="minorEastAsia" w:hAnsiTheme="minorEastAsia"/>
          <w:sz w:val="32"/>
          <w:szCs w:val="32"/>
          <w:lang w:val="en-US" w:eastAsia="zh-CN"/>
        </w:rPr>
        <w:t>103.33</w:t>
      </w:r>
      <w:r>
        <w:rPr>
          <w:rFonts w:hint="eastAsia" w:asciiTheme="minorEastAsia" w:hAnsiTheme="minorEastAsia"/>
          <w:sz w:val="32"/>
          <w:szCs w:val="32"/>
        </w:rPr>
        <w:t>%。</w:t>
      </w:r>
      <w:r>
        <w:rPr>
          <w:rFonts w:hint="eastAsia" w:asciiTheme="minorEastAsia" w:hAnsiTheme="minorEastAsia"/>
          <w:sz w:val="32"/>
          <w:szCs w:val="32"/>
          <w:lang w:eastAsia="zh-CN"/>
        </w:rPr>
        <w:t>决算数大于年初预算数的主要原因是退休人员职业年金个人账户记实。</w:t>
      </w:r>
    </w:p>
    <w:p>
      <w:pPr>
        <w:spacing w:line="580" w:lineRule="exact"/>
        <w:ind w:firstLine="640" w:firstLineChars="200"/>
        <w:rPr>
          <w:rFonts w:asciiTheme="minorEastAsia" w:hAnsiTheme="minorEastAsia"/>
          <w:sz w:val="32"/>
          <w:szCs w:val="32"/>
        </w:rPr>
      </w:pPr>
      <w:r>
        <w:rPr>
          <w:rFonts w:hint="eastAsia" w:asciiTheme="minorEastAsia" w:hAnsiTheme="minorEastAsia"/>
          <w:sz w:val="32"/>
          <w:szCs w:val="32"/>
          <w:lang w:val="en-US" w:eastAsia="zh-CN"/>
        </w:rPr>
        <w:t>8</w:t>
      </w:r>
      <w:r>
        <w:rPr>
          <w:rFonts w:hint="eastAsia" w:asciiTheme="minorEastAsia" w:hAnsiTheme="minorEastAsia"/>
          <w:sz w:val="32"/>
          <w:szCs w:val="32"/>
        </w:rPr>
        <w:t>、卫生健康支出（类）行政事业单位医疗（款）事业单位医疗（项）。</w:t>
      </w:r>
    </w:p>
    <w:p>
      <w:pPr>
        <w:spacing w:line="58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年初预算为</w:t>
      </w:r>
      <w:r>
        <w:rPr>
          <w:rFonts w:hint="eastAsia" w:cs="黑体" w:asciiTheme="minorEastAsia" w:hAnsiTheme="minorEastAsia"/>
          <w:color w:val="000000"/>
          <w:kern w:val="0"/>
          <w:sz w:val="32"/>
          <w:szCs w:val="32"/>
          <w:lang w:val="en-US" w:eastAsia="zh-CN"/>
        </w:rPr>
        <w:t>61.56</w:t>
      </w:r>
      <w:r>
        <w:rPr>
          <w:rFonts w:hint="eastAsia" w:cs="黑体" w:asciiTheme="minorEastAsia" w:hAnsiTheme="minorEastAsia"/>
          <w:color w:val="000000"/>
          <w:kern w:val="0"/>
          <w:sz w:val="32"/>
          <w:szCs w:val="32"/>
        </w:rPr>
        <w:t>万元，支出决算为</w:t>
      </w:r>
      <w:r>
        <w:rPr>
          <w:rFonts w:hint="eastAsia" w:cs="黑体" w:asciiTheme="minorEastAsia" w:hAnsiTheme="minorEastAsia"/>
          <w:color w:val="000000"/>
          <w:kern w:val="0"/>
          <w:sz w:val="32"/>
          <w:szCs w:val="32"/>
          <w:lang w:val="en-US" w:eastAsia="zh-CN"/>
        </w:rPr>
        <w:t>61.56</w:t>
      </w:r>
      <w:r>
        <w:rPr>
          <w:rFonts w:hint="eastAsia" w:cs="黑体" w:asciiTheme="minorEastAsia" w:hAnsiTheme="minorEastAsia"/>
          <w:color w:val="000000"/>
          <w:kern w:val="0"/>
          <w:sz w:val="32"/>
          <w:szCs w:val="32"/>
        </w:rPr>
        <w:t>万元，完成年初预算的100%。</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lang w:eastAsia="zh-CN"/>
        </w:rPr>
        <w:t>商业服务业等支出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商业流通事务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其他商业流通事务支出</w:t>
      </w:r>
      <w:r>
        <w:rPr>
          <w:rFonts w:hint="eastAsia" w:asciiTheme="minorEastAsia" w:hAnsiTheme="minorEastAsia" w:eastAsiaTheme="minorEastAsia"/>
          <w:sz w:val="32"/>
          <w:szCs w:val="32"/>
        </w:rPr>
        <w:t>（项）。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72.68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比例无法计算，比预算增加</w:t>
      </w:r>
      <w:r>
        <w:rPr>
          <w:rFonts w:hint="eastAsia" w:asciiTheme="minorEastAsia" w:hAnsiTheme="minorEastAsia" w:eastAsiaTheme="minorEastAsia"/>
          <w:sz w:val="32"/>
          <w:szCs w:val="32"/>
          <w:lang w:val="en-US" w:eastAsia="zh-CN"/>
        </w:rPr>
        <w:t>72.68万元。</w:t>
      </w:r>
      <w:r>
        <w:rPr>
          <w:rFonts w:hint="eastAsia" w:asciiTheme="minorEastAsia" w:hAnsiTheme="minorEastAsia" w:eastAsiaTheme="minorEastAsia"/>
          <w:sz w:val="32"/>
          <w:szCs w:val="32"/>
        </w:rPr>
        <w:t>主要是追加</w:t>
      </w:r>
      <w:r>
        <w:rPr>
          <w:rFonts w:hint="eastAsia" w:asciiTheme="minorEastAsia" w:hAnsiTheme="minorEastAsia" w:eastAsiaTheme="minorEastAsia"/>
          <w:sz w:val="32"/>
          <w:szCs w:val="32"/>
          <w:lang w:eastAsia="zh-CN"/>
        </w:rPr>
        <w:t>市中心城区农产品批发市场搬迁资金</w:t>
      </w:r>
      <w:r>
        <w:rPr>
          <w:rFonts w:hint="eastAsia" w:asciiTheme="minorEastAsia" w:hAnsiTheme="minorEastAsia" w:eastAsiaTheme="minorEastAsia"/>
          <w:sz w:val="32"/>
          <w:szCs w:val="32"/>
        </w:rPr>
        <w:t>。</w:t>
      </w:r>
    </w:p>
    <w:p>
      <w:pPr>
        <w:spacing w:line="58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rPr>
        <w:t>、住房保障支出（类）住房改革支出（款）住房公积金（项）。</w:t>
      </w:r>
    </w:p>
    <w:p>
      <w:pPr>
        <w:spacing w:line="58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年初预算为</w:t>
      </w:r>
      <w:r>
        <w:rPr>
          <w:rFonts w:hint="eastAsia" w:cs="黑体" w:asciiTheme="minorEastAsia" w:hAnsiTheme="minorEastAsia"/>
          <w:color w:val="000000"/>
          <w:kern w:val="0"/>
          <w:sz w:val="32"/>
          <w:szCs w:val="32"/>
          <w:lang w:val="en-US" w:eastAsia="zh-CN"/>
        </w:rPr>
        <w:t>86.91</w:t>
      </w:r>
      <w:r>
        <w:rPr>
          <w:rFonts w:hint="eastAsia" w:cs="黑体" w:asciiTheme="minorEastAsia" w:hAnsiTheme="minorEastAsia"/>
          <w:color w:val="000000"/>
          <w:kern w:val="0"/>
          <w:sz w:val="32"/>
          <w:szCs w:val="32"/>
        </w:rPr>
        <w:t>万元，支出决算为</w:t>
      </w:r>
      <w:r>
        <w:rPr>
          <w:rFonts w:hint="eastAsia" w:cs="黑体" w:asciiTheme="minorEastAsia" w:hAnsiTheme="minorEastAsia"/>
          <w:color w:val="000000"/>
          <w:kern w:val="0"/>
          <w:sz w:val="32"/>
          <w:szCs w:val="32"/>
          <w:lang w:val="en-US" w:eastAsia="zh-CN"/>
        </w:rPr>
        <w:t>86.91</w:t>
      </w:r>
      <w:r>
        <w:rPr>
          <w:rFonts w:hint="eastAsia" w:cs="黑体" w:asciiTheme="minorEastAsia" w:hAnsiTheme="minorEastAsia"/>
          <w:color w:val="000000"/>
          <w:kern w:val="0"/>
          <w:sz w:val="32"/>
          <w:szCs w:val="32"/>
        </w:rPr>
        <w:t>万元，完成年初预算的100%。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仿宋_GB2312" w:hAnsi="仿宋_GB2312" w:eastAsia="仿宋_GB2312" w:cs="仿宋_GB2312"/>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2126.95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1921.15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90.32</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eastAsia="zh-CN"/>
        </w:rPr>
        <w:t>奖金、</w:t>
      </w:r>
      <w:r>
        <w:rPr>
          <w:rFonts w:hint="eastAsia" w:asciiTheme="minorEastAsia" w:hAnsiTheme="minorEastAsia" w:eastAsiaTheme="minorEastAsia"/>
          <w:sz w:val="32"/>
          <w:szCs w:val="32"/>
        </w:rPr>
        <w:t>伙食补助费、</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rPr>
        <w:t>机关事业单位基本养老保险缴费、职业年金缴费、职工基本医疗保险缴费、其他社会保障缴费、住房公积金、对个人和家庭的补助；</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205.80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9.68</w:t>
      </w:r>
      <w:r>
        <w:rPr>
          <w:rFonts w:hint="eastAsia" w:asciiTheme="minorEastAsia" w:hAnsiTheme="minorEastAsia" w:eastAsiaTheme="minorEastAsia"/>
          <w:sz w:val="32"/>
          <w:szCs w:val="32"/>
        </w:rPr>
        <w:t>%，主要包括办公费、印刷费、咨询费、手续费、水费、电费、邮电费、物业管理费、差旅费、维修（护）费、租赁费、培训费、公务接待费、劳务费、委托业务费、工会经费、公务用车运</w:t>
      </w:r>
      <w:r>
        <w:rPr>
          <w:rFonts w:hint="eastAsia" w:asciiTheme="minorEastAsia" w:hAnsiTheme="minorEastAsia" w:eastAsiaTheme="minorEastAsia"/>
          <w:sz w:val="32"/>
          <w:szCs w:val="32"/>
          <w:lang w:eastAsia="zh-CN"/>
        </w:rPr>
        <w:t>行</w:t>
      </w:r>
      <w:r>
        <w:rPr>
          <w:rFonts w:hint="eastAsia" w:asciiTheme="minorEastAsia" w:hAnsiTheme="minorEastAsia" w:eastAsiaTheme="minorEastAsia"/>
          <w:sz w:val="32"/>
          <w:szCs w:val="32"/>
        </w:rPr>
        <w:t>维护费、其他交通费用、其他商品和服务支出。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5.80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28.10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11.11</w:t>
      </w:r>
      <w:r>
        <w:rPr>
          <w:rFonts w:hint="eastAsia" w:asciiTheme="minorEastAsia" w:hAnsiTheme="minorEastAsia" w:eastAsiaTheme="minorEastAsia"/>
          <w:sz w:val="32"/>
          <w:szCs w:val="32"/>
        </w:rPr>
        <w:t>%，决算数小于预算数的主要原因是厉行节约，</w:t>
      </w:r>
      <w:r>
        <w:rPr>
          <w:rFonts w:hint="eastAsia" w:asciiTheme="minorEastAsia" w:hAnsiTheme="minorEastAsia" w:eastAsiaTheme="minorEastAsia"/>
          <w:sz w:val="32"/>
          <w:szCs w:val="32"/>
          <w:lang w:eastAsia="zh-CN"/>
        </w:rPr>
        <w:t>本年度</w:t>
      </w:r>
      <w:r>
        <w:rPr>
          <w:rFonts w:hint="eastAsia" w:asciiTheme="minorEastAsia" w:hAnsiTheme="minorEastAsia" w:eastAsiaTheme="minorEastAsia"/>
          <w:sz w:val="32"/>
          <w:szCs w:val="32"/>
        </w:rPr>
        <w:t>公务接待费</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度持平</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35.75</w:t>
      </w:r>
      <w:r>
        <w:rPr>
          <w:rFonts w:hint="eastAsia" w:asciiTheme="minorEastAsia" w:hAnsiTheme="minorEastAsia" w:eastAsiaTheme="minorEastAsia"/>
          <w:sz w:val="32"/>
          <w:szCs w:val="32"/>
        </w:rPr>
        <w:t>%，决算数小于预算数的主要原因是厉行节约，与上年相比增加</w:t>
      </w:r>
      <w:r>
        <w:rPr>
          <w:rFonts w:hint="eastAsia" w:asciiTheme="minorEastAsia" w:hAnsiTheme="minorEastAsia" w:eastAsiaTheme="minorEastAsia"/>
          <w:sz w:val="32"/>
          <w:szCs w:val="32"/>
          <w:lang w:val="en-US" w:eastAsia="zh-CN"/>
        </w:rPr>
        <w:t>0.55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62.50</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车辆维修费用增加</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0.20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12.27</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87.73</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0.20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陪同人员</w:t>
      </w:r>
      <w:r>
        <w:rPr>
          <w:rFonts w:hint="eastAsia" w:asciiTheme="minorEastAsia" w:hAnsiTheme="minorEastAsia" w:eastAsiaTheme="minorEastAsia"/>
          <w:sz w:val="32"/>
          <w:szCs w:val="32"/>
          <w:lang w:val="en-US" w:eastAsia="zh-CN"/>
        </w:rPr>
        <w:t>3人，</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接待广西钦州市学习考察团（钦州市监局、司法局、城管局、人大等部门组团来郴学习农贸市场立法和建设管理经验）</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1.43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1.43</w:t>
      </w:r>
      <w:r>
        <w:rPr>
          <w:rFonts w:hint="eastAsia" w:asciiTheme="minorEastAsia" w:hAnsiTheme="minorEastAsia"/>
          <w:sz w:val="32"/>
          <w:szCs w:val="32"/>
        </w:rPr>
        <w:t>万元，主要是</w:t>
      </w:r>
      <w:r>
        <w:rPr>
          <w:rFonts w:hint="eastAsia" w:asciiTheme="minorEastAsia" w:hAnsiTheme="minorEastAsia"/>
          <w:sz w:val="32"/>
          <w:szCs w:val="32"/>
          <w:lang w:eastAsia="zh-CN"/>
        </w:rPr>
        <w:t>维修费和保险费</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郴州市市场服务中心没有政府性基金收入，也没有政府性基金安排的支出，故本表无数据。</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单位为事业单位，无机关运行经费</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2.18</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全国接待交际工作</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研讨（</w:t>
      </w:r>
      <w:r>
        <w:rPr>
          <w:rFonts w:hint="eastAsia" w:asciiTheme="minorEastAsia" w:hAnsiTheme="minorEastAsia" w:eastAsiaTheme="minorEastAsia"/>
          <w:sz w:val="32"/>
          <w:szCs w:val="32"/>
          <w:lang w:val="en-US" w:eastAsia="zh-CN"/>
        </w:rPr>
        <w:t>1人</w:t>
      </w:r>
      <w:r>
        <w:rPr>
          <w:rFonts w:hint="eastAsia" w:asciiTheme="minorEastAsia" w:hAnsiTheme="minorEastAsia" w:eastAsiaTheme="minorEastAsia"/>
          <w:sz w:val="32"/>
          <w:szCs w:val="32"/>
          <w:lang w:eastAsia="zh-CN"/>
        </w:rPr>
        <w:t>）及</w:t>
      </w:r>
      <w:r>
        <w:rPr>
          <w:rFonts w:hint="eastAsia" w:asciiTheme="minorEastAsia" w:hAnsiTheme="minorEastAsia" w:eastAsiaTheme="minorEastAsia"/>
          <w:sz w:val="32"/>
          <w:szCs w:val="32"/>
          <w:lang w:val="en-US" w:eastAsia="zh-CN"/>
        </w:rPr>
        <w:t>2021年事业单位工作人员培训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70人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学习海南省经济特区接待工作经验和经济工作经验，开支培训费</w:t>
      </w:r>
      <w:r>
        <w:rPr>
          <w:rFonts w:hint="eastAsia" w:asciiTheme="minorEastAsia" w:hAnsiTheme="minorEastAsia" w:eastAsiaTheme="minorEastAsia"/>
          <w:sz w:val="32"/>
          <w:szCs w:val="32"/>
          <w:lang w:val="en-US" w:eastAsia="zh-CN"/>
        </w:rPr>
        <w:t>0.50万元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在编在册在岗的工作人员线上培训，开支培训费</w:t>
      </w:r>
      <w:r>
        <w:rPr>
          <w:rFonts w:hint="eastAsia" w:asciiTheme="minorEastAsia" w:hAnsiTheme="minorEastAsia" w:eastAsiaTheme="minorEastAsia"/>
          <w:sz w:val="32"/>
          <w:szCs w:val="32"/>
          <w:lang w:val="en-US" w:eastAsia="zh-CN"/>
        </w:rPr>
        <w:t>1.68万元。</w:t>
      </w:r>
      <w:r>
        <w:rPr>
          <w:rFonts w:hint="eastAsia" w:asciiTheme="minorEastAsia" w:hAnsiTheme="minorEastAsia" w:eastAsiaTheme="minorEastAsia"/>
          <w:sz w:val="32"/>
          <w:szCs w:val="32"/>
        </w:rPr>
        <w:t>未举办节庆、晚会、论坛、赛事活动</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年12月31日，本单位共有车辆1辆，其中，其他用车1辆，其他用车主要是一般公务用车；单位价值50万元以上通用设备4台（套）；单位价值100万元以上专用设备0台（套）。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根据预算绩效管理要求，我部门组织对2021年度一般公共预算项目支出全面开展绩效自评，</w:t>
      </w:r>
      <w:r>
        <w:rPr>
          <w:rFonts w:hint="eastAsia" w:ascii="宋体" w:hAnsi="宋体" w:cs="黑体"/>
          <w:color w:val="000000"/>
          <w:kern w:val="0"/>
          <w:sz w:val="32"/>
          <w:szCs w:val="32"/>
          <w:lang w:eastAsia="zh-CN"/>
        </w:rPr>
        <w:t>包括北湖市场（一期）转型升级后续资金支出、七星大市场钢架结构雨棚拆除费用、市中心城区农产品批发市场搬迁资金支出等</w:t>
      </w:r>
      <w:r>
        <w:rPr>
          <w:rFonts w:hint="eastAsia" w:ascii="宋体" w:hAnsi="宋体" w:cs="黑体"/>
          <w:color w:val="000000"/>
          <w:kern w:val="0"/>
          <w:sz w:val="32"/>
          <w:szCs w:val="32"/>
          <w:lang w:val="en-US" w:eastAsia="zh-CN"/>
        </w:rPr>
        <w:t>3个其他项目</w:t>
      </w:r>
      <w:r>
        <w:rPr>
          <w:rFonts w:hint="eastAsia" w:ascii="宋体" w:hAnsi="宋体" w:cs="黑体"/>
          <w:color w:val="000000"/>
          <w:kern w:val="0"/>
          <w:sz w:val="32"/>
          <w:szCs w:val="32"/>
        </w:rPr>
        <w:t>，共涉及资金</w:t>
      </w:r>
      <w:r>
        <w:rPr>
          <w:rFonts w:hint="eastAsia" w:ascii="宋体" w:hAnsi="宋体" w:cs="黑体"/>
          <w:color w:val="000000"/>
          <w:kern w:val="0"/>
          <w:sz w:val="32"/>
          <w:szCs w:val="32"/>
          <w:lang w:val="en-US" w:eastAsia="zh-CN"/>
        </w:rPr>
        <w:t>315.27</w:t>
      </w:r>
      <w:r>
        <w:rPr>
          <w:rFonts w:hint="eastAsia" w:ascii="宋体" w:hAnsi="宋体" w:cs="黑体"/>
          <w:color w:val="000000"/>
          <w:kern w:val="0"/>
          <w:sz w:val="32"/>
          <w:szCs w:val="32"/>
        </w:rPr>
        <w:t>万元</w:t>
      </w:r>
      <w:r>
        <w:rPr>
          <w:rFonts w:hint="default" w:ascii="宋体" w:hAnsi="宋体" w:cs="黑体"/>
          <w:color w:val="000000"/>
          <w:kern w:val="0"/>
          <w:sz w:val="32"/>
          <w:szCs w:val="32"/>
          <w:lang w:val="en"/>
        </w:rPr>
        <w:t>,</w:t>
      </w:r>
      <w:r>
        <w:rPr>
          <w:rFonts w:hint="eastAsia" w:ascii="宋体" w:hAnsi="宋体" w:cs="黑体"/>
          <w:color w:val="000000"/>
          <w:kern w:val="0"/>
          <w:sz w:val="32"/>
          <w:szCs w:val="32"/>
        </w:rPr>
        <w:t>占一般公共预算项目支出总额的</w:t>
      </w:r>
      <w:r>
        <w:rPr>
          <w:rFonts w:hint="eastAsia" w:ascii="宋体" w:hAnsi="宋体" w:cs="黑体"/>
          <w:color w:val="000000"/>
          <w:kern w:val="0"/>
          <w:sz w:val="32"/>
          <w:szCs w:val="32"/>
          <w:lang w:val="en-US" w:eastAsia="zh-CN"/>
        </w:rPr>
        <w:t>12.91</w:t>
      </w:r>
      <w:r>
        <w:rPr>
          <w:rFonts w:hint="eastAsia" w:ascii="宋体" w:hAnsi="宋体" w:cs="黑体"/>
          <w:color w:val="000000"/>
          <w:kern w:val="0"/>
          <w:sz w:val="32"/>
          <w:szCs w:val="32"/>
        </w:rPr>
        <w:t>%。组织对2021年度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个政府性基金预算项目支出开展绩效自评，共涉及资金</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万元。组织对</w:t>
      </w:r>
      <w:r>
        <w:rPr>
          <w:rFonts w:ascii="宋体" w:hAnsi="宋体" w:cs="黑体"/>
          <w:color w:val="000000"/>
          <w:kern w:val="0"/>
          <w:sz w:val="32"/>
          <w:szCs w:val="32"/>
        </w:rPr>
        <w:t>202</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年度</w:t>
      </w:r>
      <w:r>
        <w:rPr>
          <w:rFonts w:hint="eastAsia" w:ascii="宋体" w:hAnsi="宋体" w:cs="黑体"/>
          <w:color w:val="000000"/>
          <w:kern w:val="0"/>
          <w:sz w:val="32"/>
          <w:szCs w:val="32"/>
          <w:lang w:eastAsia="zh-CN"/>
        </w:rPr>
        <w:t>结转的</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w:t>
      </w:r>
      <w:r>
        <w:rPr>
          <w:rFonts w:hint="eastAsia" w:ascii="宋体" w:hAnsi="宋体" w:cs="黑体"/>
          <w:color w:val="000000"/>
          <w:kern w:val="0"/>
          <w:sz w:val="32"/>
          <w:szCs w:val="32"/>
          <w:lang w:eastAsia="zh-CN"/>
        </w:rPr>
        <w:t>其他</w:t>
      </w:r>
      <w:r>
        <w:rPr>
          <w:rFonts w:hint="eastAsia" w:ascii="宋体" w:hAnsi="宋体" w:cs="黑体"/>
          <w:color w:val="000000"/>
          <w:kern w:val="0"/>
          <w:sz w:val="32"/>
          <w:szCs w:val="32"/>
        </w:rPr>
        <w:t>国有资本经营预算项目支出开展绩效自评，共涉及资金</w:t>
      </w:r>
      <w:r>
        <w:rPr>
          <w:rFonts w:hint="eastAsia" w:ascii="宋体" w:hAnsi="宋体" w:cs="黑体"/>
          <w:color w:val="000000"/>
          <w:kern w:val="0"/>
          <w:sz w:val="32"/>
          <w:szCs w:val="32"/>
          <w:lang w:val="en-US" w:eastAsia="zh-CN"/>
        </w:rPr>
        <w:t>187.78</w:t>
      </w:r>
      <w:r>
        <w:rPr>
          <w:rFonts w:ascii="宋体" w:hAnsi="宋体" w:cs="黑体"/>
          <w:color w:val="000000"/>
          <w:kern w:val="0"/>
          <w:sz w:val="32"/>
          <w:szCs w:val="32"/>
        </w:rPr>
        <w:t xml:space="preserve"> </w:t>
      </w:r>
      <w:r>
        <w:rPr>
          <w:rFonts w:hint="eastAsia" w:ascii="宋体" w:hAnsi="宋体" w:cs="黑体"/>
          <w:color w:val="000000"/>
          <w:kern w:val="0"/>
          <w:sz w:val="32"/>
          <w:szCs w:val="32"/>
        </w:rPr>
        <w:t>万元，占国有资本经营预算项目支出总额的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（2）项目绩效自评结果。</w:t>
      </w:r>
    </w:p>
    <w:p>
      <w:pPr>
        <w:autoSpaceDE w:val="0"/>
        <w:autoSpaceDN w:val="0"/>
        <w:adjustRightInd w:val="0"/>
        <w:ind w:firstLine="640" w:firstLineChars="200"/>
        <w:jc w:val="left"/>
        <w:rPr>
          <w:rFonts w:hint="eastAsia" w:ascii="宋体" w:hAnsi="宋体" w:cs="黑体"/>
          <w:color w:val="000000"/>
          <w:kern w:val="0"/>
          <w:sz w:val="32"/>
          <w:szCs w:val="32"/>
          <w:lang w:eastAsia="zh-CN"/>
        </w:rPr>
      </w:pPr>
      <w:r>
        <w:rPr>
          <w:rFonts w:hint="eastAsia" w:ascii="宋体" w:hAnsi="宋体" w:cs="黑体"/>
          <w:color w:val="000000"/>
          <w:kern w:val="0"/>
          <w:sz w:val="32"/>
          <w:szCs w:val="32"/>
          <w:lang w:val="en" w:eastAsia="zh-CN"/>
        </w:rPr>
        <w:t>①</w:t>
      </w:r>
      <w:r>
        <w:rPr>
          <w:rFonts w:hint="eastAsia" w:ascii="宋体" w:hAnsi="宋体" w:cs="黑体"/>
          <w:color w:val="000000"/>
          <w:kern w:val="0"/>
          <w:sz w:val="32"/>
          <w:szCs w:val="32"/>
          <w:lang w:eastAsia="zh-CN"/>
        </w:rPr>
        <w:t>市级重点项目。</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lang w:eastAsia="zh-CN"/>
        </w:rPr>
        <w:t>本单位无市级重点项目</w:t>
      </w:r>
      <w:r>
        <w:rPr>
          <w:rFonts w:hint="eastAsia" w:ascii="宋体" w:hAnsi="宋体" w:cs="黑体"/>
          <w:color w:val="000000"/>
          <w:kern w:val="0"/>
          <w:sz w:val="32"/>
          <w:szCs w:val="32"/>
        </w:rPr>
        <w:t>。</w:t>
      </w:r>
    </w:p>
    <w:p>
      <w:pPr>
        <w:autoSpaceDE w:val="0"/>
        <w:autoSpaceDN w:val="0"/>
        <w:adjustRightInd w:val="0"/>
        <w:ind w:firstLine="640" w:firstLineChars="200"/>
        <w:jc w:val="left"/>
        <w:rPr>
          <w:rFonts w:hint="eastAsia" w:ascii="宋体" w:hAnsi="宋体" w:cs="黑体"/>
          <w:color w:val="000000"/>
          <w:kern w:val="0"/>
          <w:sz w:val="32"/>
          <w:szCs w:val="32"/>
          <w:lang w:val="en" w:eastAsia="zh-CN"/>
        </w:rPr>
      </w:pPr>
      <w:r>
        <w:rPr>
          <w:rFonts w:hint="eastAsia" w:ascii="宋体" w:hAnsi="宋体" w:cs="黑体"/>
          <w:color w:val="000000"/>
          <w:kern w:val="0"/>
          <w:sz w:val="32"/>
          <w:szCs w:val="32"/>
          <w:lang w:val="en" w:eastAsia="zh-CN"/>
        </w:rPr>
        <w:t>②其他项目（业务工作经费、运行维护经费等）。</w:t>
      </w:r>
    </w:p>
    <w:p>
      <w:pPr>
        <w:autoSpaceDE w:val="0"/>
        <w:autoSpaceDN w:val="0"/>
        <w:adjustRightInd w:val="0"/>
        <w:ind w:firstLine="640" w:firstLineChars="200"/>
        <w:jc w:val="left"/>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预拨北湖市场（一期）转型升级后续资金</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8.5</w:t>
      </w:r>
      <w:r>
        <w:rPr>
          <w:rFonts w:hint="eastAsia" w:ascii="宋体" w:hAnsi="宋体" w:cs="黑体"/>
          <w:color w:val="000000"/>
          <w:kern w:val="0"/>
          <w:sz w:val="32"/>
          <w:szCs w:val="32"/>
        </w:rPr>
        <w:t>分。</w:t>
      </w:r>
      <w:r>
        <w:rPr>
          <w:rFonts w:hint="eastAsia" w:ascii="宋体" w:hAnsi="宋体" w:cs="黑体"/>
          <w:color w:val="000000"/>
          <w:kern w:val="0"/>
          <w:sz w:val="32"/>
          <w:szCs w:val="32"/>
          <w:lang w:eastAsia="zh-CN"/>
        </w:rPr>
        <w:t>项目全年预算数为</w:t>
      </w:r>
      <w:r>
        <w:rPr>
          <w:rFonts w:hint="eastAsia" w:ascii="宋体" w:hAnsi="宋体" w:cs="黑体"/>
          <w:color w:val="000000"/>
          <w:kern w:val="0"/>
          <w:sz w:val="32"/>
          <w:szCs w:val="32"/>
          <w:lang w:val="en-US" w:eastAsia="zh-CN"/>
        </w:rPr>
        <w:t>251.15</w:t>
      </w:r>
      <w:r>
        <w:rPr>
          <w:rFonts w:hint="eastAsia" w:ascii="宋体" w:hAnsi="宋体" w:cs="黑体"/>
          <w:color w:val="000000"/>
          <w:kern w:val="0"/>
          <w:sz w:val="32"/>
          <w:szCs w:val="32"/>
          <w:lang w:eastAsia="zh-CN"/>
        </w:rPr>
        <w:t>万元，执行数为</w:t>
      </w:r>
      <w:r>
        <w:rPr>
          <w:rFonts w:hint="eastAsia" w:ascii="宋体" w:hAnsi="宋体" w:cs="黑体"/>
          <w:color w:val="000000"/>
          <w:kern w:val="0"/>
          <w:sz w:val="32"/>
          <w:szCs w:val="32"/>
          <w:lang w:val="en-US" w:eastAsia="zh-CN"/>
        </w:rPr>
        <w:t>213.49</w:t>
      </w:r>
      <w:r>
        <w:rPr>
          <w:rFonts w:hint="eastAsia" w:ascii="宋体" w:hAnsi="宋体" w:cs="黑体"/>
          <w:color w:val="000000"/>
          <w:kern w:val="0"/>
          <w:sz w:val="32"/>
          <w:szCs w:val="32"/>
          <w:lang w:eastAsia="zh-CN"/>
        </w:rPr>
        <w:t>万元，完成预算的</w:t>
      </w:r>
      <w:r>
        <w:rPr>
          <w:rFonts w:hint="eastAsia" w:ascii="宋体" w:hAnsi="宋体" w:cs="黑体"/>
          <w:color w:val="000000"/>
          <w:kern w:val="0"/>
          <w:sz w:val="32"/>
          <w:szCs w:val="32"/>
          <w:lang w:val="en-US" w:eastAsia="zh-CN"/>
        </w:rPr>
        <w:t>85</w:t>
      </w:r>
      <w:r>
        <w:rPr>
          <w:rFonts w:hint="eastAsia" w:ascii="宋体" w:hAnsi="宋体" w:cs="黑体"/>
          <w:color w:val="000000"/>
          <w:kern w:val="0"/>
          <w:sz w:val="32"/>
          <w:szCs w:val="32"/>
          <w:lang w:eastAsia="zh-CN"/>
        </w:rPr>
        <w:t>%。项目绩效目标完成情况：一是高度重视、高频调度、多措并举、攻坚克难；二是主动担当、积极应诉；三是化解矛盾、维稳息诉；四是全力配合各县市区开展北湖市场（一期）未清退长期租赁门面的清退工作，在清退协议签订完成的7个工作日内将清退款支付给清退人。本年度该项目支出213.49万元。发现的主要问题及原因：各县市区（未清退门面承租户的属地政府）及“一对一”联系部门均反映尚未清退的承租户经反复做工作，清退意愿仍不高，清退难度很大。下一步改进措施：一是与属地政府和各联系单位共同发力，继续推进未清退门面的清退工作；二是拟提请市政府同意，启动对未清退业主的民事诉讼，申请司法提存。</w:t>
      </w:r>
    </w:p>
    <w:p>
      <w:pPr>
        <w:autoSpaceDE w:val="0"/>
        <w:autoSpaceDN w:val="0"/>
        <w:adjustRightInd w:val="0"/>
        <w:ind w:firstLine="640" w:firstLineChars="200"/>
        <w:jc w:val="left"/>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七星大市场钢架结构雨棚拆除费用项目绩效自评综述：根据年初设定的绩效目标，项目绩效自评得分为</w:t>
      </w:r>
      <w:r>
        <w:rPr>
          <w:rFonts w:hint="eastAsia" w:ascii="宋体" w:hAnsi="宋体" w:cs="黑体"/>
          <w:color w:val="000000"/>
          <w:kern w:val="0"/>
          <w:sz w:val="32"/>
          <w:szCs w:val="32"/>
          <w:lang w:val="en-US" w:eastAsia="zh-CN"/>
        </w:rPr>
        <w:t>10</w:t>
      </w:r>
      <w:r>
        <w:rPr>
          <w:rFonts w:hint="eastAsia" w:ascii="宋体" w:hAnsi="宋体" w:cs="黑体"/>
          <w:color w:val="000000"/>
          <w:kern w:val="0"/>
          <w:sz w:val="32"/>
          <w:szCs w:val="32"/>
          <w:lang w:eastAsia="zh-CN"/>
        </w:rPr>
        <w:t>分。项目全年预算数为</w:t>
      </w:r>
      <w:r>
        <w:rPr>
          <w:rFonts w:hint="eastAsia" w:ascii="宋体" w:hAnsi="宋体" w:cs="黑体"/>
          <w:color w:val="000000"/>
          <w:kern w:val="0"/>
          <w:sz w:val="32"/>
          <w:szCs w:val="32"/>
          <w:lang w:val="en-US" w:eastAsia="zh-CN"/>
        </w:rPr>
        <w:t>29.10</w:t>
      </w:r>
      <w:r>
        <w:rPr>
          <w:rFonts w:hint="eastAsia" w:ascii="宋体" w:hAnsi="宋体" w:cs="黑体"/>
          <w:color w:val="000000"/>
          <w:kern w:val="0"/>
          <w:sz w:val="32"/>
          <w:szCs w:val="32"/>
          <w:lang w:eastAsia="zh-CN"/>
        </w:rPr>
        <w:t>万元，执行数为</w:t>
      </w:r>
      <w:r>
        <w:rPr>
          <w:rFonts w:hint="eastAsia" w:ascii="宋体" w:hAnsi="宋体" w:cs="黑体"/>
          <w:color w:val="000000"/>
          <w:kern w:val="0"/>
          <w:sz w:val="32"/>
          <w:szCs w:val="32"/>
          <w:lang w:val="en-US" w:eastAsia="zh-CN"/>
        </w:rPr>
        <w:t>29.10</w:t>
      </w:r>
      <w:r>
        <w:rPr>
          <w:rFonts w:hint="eastAsia" w:ascii="宋体" w:hAnsi="宋体" w:cs="黑体"/>
          <w:color w:val="000000"/>
          <w:kern w:val="0"/>
          <w:sz w:val="32"/>
          <w:szCs w:val="32"/>
          <w:lang w:eastAsia="zh-CN"/>
        </w:rPr>
        <w:t>万元，完成预算的</w:t>
      </w:r>
      <w:r>
        <w:rPr>
          <w:rFonts w:hint="eastAsia" w:ascii="宋体" w:hAnsi="宋体" w:cs="黑体"/>
          <w:color w:val="000000"/>
          <w:kern w:val="0"/>
          <w:sz w:val="32"/>
          <w:szCs w:val="32"/>
          <w:lang w:val="en-US" w:eastAsia="zh-CN"/>
        </w:rPr>
        <w:t>100</w:t>
      </w:r>
      <w:r>
        <w:rPr>
          <w:rFonts w:hint="eastAsia" w:ascii="宋体" w:hAnsi="宋体" w:cs="黑体"/>
          <w:color w:val="000000"/>
          <w:kern w:val="0"/>
          <w:sz w:val="32"/>
          <w:szCs w:val="32"/>
          <w:lang w:eastAsia="zh-CN"/>
        </w:rPr>
        <w:t>%。项目绩效目标完成情况：按照市机关事务管理局“同意报废并安全拆除，资产处置收益严格执行收支两条线管理”的有关要求，我单位将拆除下来的废旧物资（评估价格26.15万元）通过湖南省联合产权交易所公开发布资产转让信息并组织交易，在交易平台挂牌竞价转让，最终交易价格47.95万元，溢价率83.38%，拆除工程费用29.10万元，取得处置净收益18.85万元。</w:t>
      </w:r>
    </w:p>
    <w:p>
      <w:pPr>
        <w:autoSpaceDE w:val="0"/>
        <w:autoSpaceDN w:val="0"/>
        <w:adjustRightInd w:val="0"/>
        <w:ind w:firstLine="640" w:firstLineChars="200"/>
        <w:jc w:val="left"/>
        <w:rPr>
          <w:rFonts w:hint="eastAsia" w:ascii="宋体" w:hAnsi="宋体" w:cs="黑体"/>
          <w:color w:val="000000"/>
          <w:kern w:val="0"/>
          <w:sz w:val="32"/>
          <w:szCs w:val="32"/>
          <w:lang w:eastAsia="zh-CN"/>
        </w:rPr>
      </w:pPr>
      <w:r>
        <w:rPr>
          <w:rFonts w:hint="eastAsia" w:ascii="宋体" w:hAnsi="宋体" w:cs="黑体"/>
          <w:color w:val="000000"/>
          <w:kern w:val="0"/>
          <w:sz w:val="32"/>
          <w:szCs w:val="32"/>
          <w:lang w:eastAsia="zh-CN"/>
        </w:rPr>
        <w:t>市中心城区农产品批发市场搬迁资金（预备费）项目绩效自评综述：根据年初设定的绩效目标，项目绩效自评得分为</w:t>
      </w:r>
      <w:r>
        <w:rPr>
          <w:rFonts w:hint="eastAsia" w:ascii="宋体" w:hAnsi="宋体" w:cs="黑体"/>
          <w:color w:val="000000"/>
          <w:kern w:val="0"/>
          <w:sz w:val="32"/>
          <w:szCs w:val="32"/>
          <w:lang w:val="en-US" w:eastAsia="zh-CN"/>
        </w:rPr>
        <w:t>9.1</w:t>
      </w:r>
      <w:r>
        <w:rPr>
          <w:rFonts w:hint="eastAsia" w:ascii="宋体" w:hAnsi="宋体" w:cs="黑体"/>
          <w:color w:val="000000"/>
          <w:kern w:val="0"/>
          <w:sz w:val="32"/>
          <w:szCs w:val="32"/>
          <w:lang w:eastAsia="zh-CN"/>
        </w:rPr>
        <w:t>分。项目全年预算数为</w:t>
      </w:r>
      <w:r>
        <w:rPr>
          <w:rFonts w:hint="eastAsia" w:ascii="宋体" w:hAnsi="宋体" w:cs="黑体"/>
          <w:color w:val="000000"/>
          <w:kern w:val="0"/>
          <w:sz w:val="32"/>
          <w:szCs w:val="32"/>
          <w:lang w:val="en-US" w:eastAsia="zh-CN"/>
        </w:rPr>
        <w:t>80</w:t>
      </w:r>
      <w:r>
        <w:rPr>
          <w:rFonts w:hint="eastAsia" w:ascii="宋体" w:hAnsi="宋体" w:cs="黑体"/>
          <w:color w:val="000000"/>
          <w:kern w:val="0"/>
          <w:sz w:val="32"/>
          <w:szCs w:val="32"/>
          <w:lang w:eastAsia="zh-CN"/>
        </w:rPr>
        <w:t>万元，执行数为</w:t>
      </w:r>
      <w:r>
        <w:rPr>
          <w:rFonts w:hint="eastAsia" w:ascii="宋体" w:hAnsi="宋体" w:cs="黑体"/>
          <w:color w:val="000000"/>
          <w:kern w:val="0"/>
          <w:sz w:val="32"/>
          <w:szCs w:val="32"/>
          <w:lang w:val="en-US" w:eastAsia="zh-CN"/>
        </w:rPr>
        <w:t>72.68</w:t>
      </w:r>
      <w:r>
        <w:rPr>
          <w:rFonts w:hint="eastAsia" w:ascii="宋体" w:hAnsi="宋体" w:cs="黑体"/>
          <w:color w:val="000000"/>
          <w:kern w:val="0"/>
          <w:sz w:val="32"/>
          <w:szCs w:val="32"/>
          <w:lang w:eastAsia="zh-CN"/>
        </w:rPr>
        <w:t>万元，完成预算的</w:t>
      </w:r>
      <w:r>
        <w:rPr>
          <w:rFonts w:hint="eastAsia" w:ascii="宋体" w:hAnsi="宋体" w:cs="黑体"/>
          <w:color w:val="000000"/>
          <w:kern w:val="0"/>
          <w:sz w:val="32"/>
          <w:szCs w:val="32"/>
          <w:lang w:val="en-US" w:eastAsia="zh-CN"/>
        </w:rPr>
        <w:t>91</w:t>
      </w:r>
      <w:r>
        <w:rPr>
          <w:rFonts w:hint="eastAsia" w:ascii="宋体" w:hAnsi="宋体" w:cs="黑体"/>
          <w:color w:val="000000"/>
          <w:kern w:val="0"/>
          <w:sz w:val="32"/>
          <w:szCs w:val="32"/>
          <w:lang w:eastAsia="zh-CN"/>
        </w:rPr>
        <w:t>%。项目绩效目标完成情况：七星大市场2020年12月20日搬迁关停后，我单位一是做好了安全维稳、清产核资等后续处置工作；二是对搬迁商户“扶上马、送一程”，跟踪走访，协调解决商户在承接市场的经营困难和问题；三是多次提请市政府尽快确定七星大市场的资产接收单位，规划开发，避免国有资产闲置。发现的主要问题及原因：因市政府未确定七星大市场的资产接收单位，该</w:t>
      </w:r>
      <w:r>
        <w:rPr>
          <w:rFonts w:hint="eastAsia" w:ascii="宋体" w:hAnsi="宋体" w:cs="黑体"/>
          <w:color w:val="000000"/>
          <w:kern w:val="0"/>
          <w:sz w:val="32"/>
          <w:szCs w:val="32"/>
          <w:lang w:val="en-US" w:eastAsia="zh-CN"/>
        </w:rPr>
        <w:t>市场原址至今仍处于闲置状态</w:t>
      </w:r>
      <w:r>
        <w:rPr>
          <w:rFonts w:hint="eastAsia" w:ascii="宋体" w:hAnsi="宋体" w:cs="黑体"/>
          <w:color w:val="000000"/>
          <w:kern w:val="0"/>
          <w:sz w:val="32"/>
          <w:szCs w:val="32"/>
          <w:lang w:eastAsia="zh-CN"/>
        </w:rPr>
        <w:t>且持续产生相关维护费用。下一步改进措施：</w:t>
      </w:r>
      <w:r>
        <w:rPr>
          <w:rFonts w:hint="eastAsia" w:ascii="宋体" w:hAnsi="宋体" w:cs="黑体"/>
          <w:color w:val="000000"/>
          <w:kern w:val="0"/>
          <w:sz w:val="32"/>
          <w:szCs w:val="32"/>
          <w:lang w:val="en-US" w:eastAsia="zh-CN"/>
        </w:rPr>
        <w:t>该市场所处地段较为优越，为实现国有资产的保值增值，建议尽早进行开发，建议资产、负债均由开发方接收。</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44"/>
          <w:szCs w:val="44"/>
        </w:rPr>
      </w:pPr>
    </w:p>
    <w:p>
      <w:pPr>
        <w:pStyle w:val="9"/>
        <w:jc w:val="center"/>
        <w:rPr>
          <w:sz w:val="44"/>
          <w:szCs w:val="44"/>
        </w:rPr>
      </w:pPr>
      <w:r>
        <w:rPr>
          <w:rFonts w:hint="eastAsia"/>
          <w:sz w:val="44"/>
          <w:szCs w:val="44"/>
        </w:rPr>
        <w:t>第四部分</w:t>
      </w:r>
    </w:p>
    <w:p>
      <w:pPr>
        <w:jc w:val="center"/>
        <w:rPr>
          <w:rFonts w:ascii="黑体" w:eastAsia="黑体" w:cs="黑体"/>
          <w:color w:val="000000"/>
          <w:kern w:val="0"/>
          <w:sz w:val="44"/>
          <w:szCs w:val="44"/>
        </w:rPr>
      </w:pPr>
    </w:p>
    <w:p>
      <w:pPr>
        <w:jc w:val="center"/>
        <w:rPr>
          <w:rFonts w:ascii="黑体" w:eastAsia="黑体" w:cs="黑体"/>
          <w:color w:val="000000"/>
          <w:kern w:val="0"/>
          <w:sz w:val="44"/>
          <w:szCs w:val="44"/>
        </w:rPr>
      </w:pPr>
      <w:r>
        <w:rPr>
          <w:rFonts w:hint="eastAsia" w:ascii="黑体" w:eastAsia="黑体" w:cs="黑体"/>
          <w:color w:val="000000"/>
          <w:kern w:val="0"/>
          <w:sz w:val="44"/>
          <w:szCs w:val="44"/>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2"/>
        </w:num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三公”经费：纳入财政预决算管理的“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44"/>
          <w:szCs w:val="44"/>
        </w:rPr>
      </w:pPr>
      <w:r>
        <w:rPr>
          <w:rFonts w:hint="eastAsia"/>
          <w:sz w:val="44"/>
          <w:szCs w:val="44"/>
        </w:rPr>
        <w:t>第五部分</w:t>
      </w:r>
    </w:p>
    <w:p>
      <w:pPr>
        <w:jc w:val="center"/>
        <w:rPr>
          <w:rFonts w:ascii="黑体" w:eastAsia="黑体" w:cs="黑体"/>
          <w:color w:val="000000"/>
          <w:kern w:val="0"/>
          <w:sz w:val="44"/>
          <w:szCs w:val="44"/>
        </w:rPr>
      </w:pPr>
    </w:p>
    <w:p>
      <w:pPr>
        <w:jc w:val="center"/>
        <w:rPr>
          <w:rFonts w:ascii="黑体" w:eastAsia="黑体" w:cs="黑体"/>
          <w:color w:val="000000"/>
          <w:kern w:val="0"/>
          <w:sz w:val="44"/>
          <w:szCs w:val="44"/>
        </w:rPr>
      </w:pPr>
      <w:r>
        <w:rPr>
          <w:rFonts w:hint="eastAsia" w:ascii="黑体" w:eastAsia="黑体" w:cs="黑体"/>
          <w:color w:val="000000"/>
          <w:kern w:val="0"/>
          <w:sz w:val="44"/>
          <w:szCs w:val="44"/>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rPr>
          <w:rFonts w:ascii="Times New Roman" w:hAnsi="Times New Roman" w:eastAsia="黑体"/>
          <w:sz w:val="32"/>
          <w:szCs w:val="32"/>
        </w:rPr>
      </w:pPr>
      <w:r>
        <w:rPr>
          <w:rFonts w:ascii="Times New Roman" w:hAnsi="Times New Roman" w:eastAsia="黑体"/>
          <w:sz w:val="32"/>
          <w:szCs w:val="32"/>
        </w:rPr>
        <w:t>附件1</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jc w:val="center"/>
        <w:rPr>
          <w:rFonts w:ascii="方正小标宋简体" w:hAnsi="Times New Roman" w:eastAsia="方正小标宋简体"/>
          <w:sz w:val="52"/>
          <w:szCs w:val="52"/>
        </w:rPr>
      </w:pPr>
      <w:r>
        <w:rPr>
          <w:rFonts w:hint="eastAsia" w:ascii="方正小标宋简体" w:hAnsi="Times New Roman" w:eastAsia="方正小标宋简体"/>
          <w:sz w:val="52"/>
          <w:szCs w:val="52"/>
        </w:rPr>
        <w:t>2021年度郴州市市场服务中心整体支出绩效自评报告</w:t>
      </w:r>
    </w:p>
    <w:p>
      <w:pPr>
        <w:jc w:val="center"/>
        <w:rPr>
          <w:rFonts w:ascii="Times New Roman" w:hAnsi="Times New Roman" w:eastAsia="方正小标宋_GBK"/>
          <w:b/>
          <w:sz w:val="52"/>
          <w:szCs w:val="5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楷体_GB2312"/>
          <w:b/>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ind w:firstLine="1920" w:firstLineChars="600"/>
        <w:rPr>
          <w:rFonts w:ascii="Times New Roman" w:hAnsi="Times New Roman" w:eastAsia="仿宋_GB2312"/>
          <w:sz w:val="32"/>
          <w:szCs w:val="32"/>
          <w:u w:val="single"/>
        </w:rPr>
      </w:pPr>
      <w:r>
        <w:rPr>
          <w:rFonts w:ascii="Times New Roman" w:hAnsi="Times New Roman" w:eastAsia="仿宋_GB2312"/>
          <w:sz w:val="32"/>
          <w:szCs w:val="32"/>
        </w:rPr>
        <w:t>单位名称：</w:t>
      </w:r>
      <w:r>
        <w:rPr>
          <w:rFonts w:hint="eastAsia" w:ascii="Times New Roman" w:hAnsi="Times New Roman" w:eastAsia="仿宋_GB2312"/>
          <w:sz w:val="32"/>
          <w:szCs w:val="32"/>
          <w:u w:val="single"/>
        </w:rPr>
        <w:t>郴州市市场服务中心</w:t>
      </w:r>
      <w:r>
        <w:rPr>
          <w:rFonts w:ascii="Times New Roman" w:hAnsi="Times New Roman" w:eastAsia="仿宋_GB2312"/>
          <w:sz w:val="32"/>
          <w:szCs w:val="32"/>
          <w:u w:val="single"/>
        </w:rPr>
        <w:t xml:space="preserve"> </w:t>
      </w:r>
    </w:p>
    <w:p>
      <w:pPr>
        <w:spacing w:line="600" w:lineRule="exact"/>
        <w:ind w:firstLine="3200" w:firstLineChars="1000"/>
        <w:rPr>
          <w:rFonts w:ascii="Times New Roman" w:hAnsi="Times New Roman" w:eastAsia="楷体_GB2312"/>
          <w:sz w:val="32"/>
          <w:szCs w:val="32"/>
        </w:rPr>
      </w:pPr>
      <w:r>
        <w:rPr>
          <w:rFonts w:hint="eastAsia" w:ascii="Times New Roman" w:hAnsi="Times New Roman" w:eastAsia="楷体_GB2312"/>
          <w:sz w:val="32"/>
          <w:szCs w:val="32"/>
        </w:rPr>
        <w:t>2022</w:t>
      </w:r>
      <w:r>
        <w:rPr>
          <w:rFonts w:ascii="Times New Roman" w:hAnsi="Times New Roman" w:eastAsia="楷体_GB2312"/>
          <w:sz w:val="32"/>
          <w:szCs w:val="32"/>
        </w:rPr>
        <w:t>年</w:t>
      </w:r>
      <w:r>
        <w:rPr>
          <w:rFonts w:hint="eastAsia" w:ascii="Times New Roman" w:hAnsi="Times New Roman" w:eastAsia="楷体_GB2312"/>
          <w:sz w:val="32"/>
          <w:szCs w:val="32"/>
        </w:rPr>
        <w:t>4</w:t>
      </w:r>
      <w:r>
        <w:rPr>
          <w:rFonts w:ascii="Times New Roman" w:hAnsi="Times New Roman" w:eastAsia="楷体_GB2312"/>
          <w:sz w:val="32"/>
          <w:szCs w:val="32"/>
        </w:rPr>
        <w:t>月</w:t>
      </w:r>
      <w:r>
        <w:rPr>
          <w:rFonts w:hint="eastAsia" w:ascii="Times New Roman" w:hAnsi="Times New Roman" w:eastAsia="楷体_GB2312"/>
          <w:sz w:val="32"/>
          <w:szCs w:val="32"/>
        </w:rPr>
        <w:t>18</w:t>
      </w:r>
      <w:r>
        <w:rPr>
          <w:rFonts w:ascii="Times New Roman" w:hAnsi="Times New Roman" w:eastAsia="楷体_GB2312"/>
          <w:sz w:val="32"/>
          <w:szCs w:val="32"/>
        </w:rPr>
        <w:t>日</w:t>
      </w:r>
    </w:p>
    <w:p>
      <w:pPr>
        <w:jc w:val="center"/>
        <w:rPr>
          <w:rFonts w:ascii="Times New Roman" w:hAnsi="Times New Roman" w:eastAsia="黑体"/>
          <w:sz w:val="32"/>
          <w:szCs w:val="32"/>
        </w:rPr>
      </w:pPr>
    </w:p>
    <w:p>
      <w:pPr>
        <w:jc w:val="center"/>
        <w:rPr>
          <w:rFonts w:ascii="Times New Roman" w:hAnsi="Times New Roman" w:eastAsia="仿宋_GB2312"/>
          <w:sz w:val="32"/>
          <w:szCs w:val="32"/>
        </w:rPr>
      </w:pPr>
      <w:r>
        <w:rPr>
          <w:rFonts w:ascii="Times New Roman" w:hAnsi="Times New Roman" w:eastAsia="仿宋_GB2312"/>
          <w:sz w:val="32"/>
          <w:szCs w:val="32"/>
        </w:rPr>
        <w:t>（此页为封面）</w:t>
      </w:r>
    </w:p>
    <w:p>
      <w:pPr>
        <w:pStyle w:val="10"/>
        <w:numPr>
          <w:ilvl w:val="0"/>
          <w:numId w:val="3"/>
        </w:numPr>
        <w:spacing w:line="560" w:lineRule="exact"/>
        <w:ind w:firstLineChars="0"/>
        <w:rPr>
          <w:rFonts w:ascii="黑体" w:hAnsi="黑体" w:eastAsia="黑体"/>
          <w:sz w:val="32"/>
          <w:szCs w:val="32"/>
        </w:rPr>
      </w:pPr>
      <w:r>
        <w:rPr>
          <w:rFonts w:ascii="Times New Roman" w:hAnsi="Times New Roman" w:eastAsia="仿宋_GB2312"/>
          <w:sz w:val="32"/>
          <w:szCs w:val="32"/>
        </w:rPr>
        <w:br w:type="page"/>
      </w:r>
      <w:r>
        <w:rPr>
          <w:rFonts w:ascii="黑体" w:hAnsi="黑体" w:eastAsia="黑体"/>
          <w:sz w:val="32"/>
          <w:szCs w:val="32"/>
        </w:rPr>
        <w:t>部门（单位）基本情况</w:t>
      </w:r>
    </w:p>
    <w:p>
      <w:pPr>
        <w:spacing w:line="560" w:lineRule="exact"/>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郴州市市场服务中心系市商务局下属的副处级事业单位，单位主要职能是负责罗家井农贸市场、下湄桥市场等市场的日常经营管理服务工作；按市政府要求做好北湖综合市场、七星大市场等市场的商户搬迁工作。我单位核定机关事业编制104名，2021年年末在职在编102人,现领导班子成员1正2副。内设机构（副科级）8个：办公室、人事科、财务科、安全维护科、市场转型升级科、罗家井市场服务部、下湄桥市场服务部、七星市场服务部。</w:t>
      </w:r>
    </w:p>
    <w:p>
      <w:pPr>
        <w:pStyle w:val="10"/>
        <w:spacing w:line="560" w:lineRule="exact"/>
        <w:ind w:firstLine="640"/>
        <w:rPr>
          <w:rFonts w:ascii="黑体" w:hAnsi="黑体" w:eastAsia="黑体"/>
          <w:sz w:val="32"/>
          <w:szCs w:val="32"/>
        </w:rPr>
      </w:pPr>
      <w:r>
        <w:rPr>
          <w:rFonts w:ascii="黑体" w:hAnsi="黑体" w:eastAsia="黑体"/>
          <w:sz w:val="32"/>
          <w:szCs w:val="32"/>
        </w:rPr>
        <w:t>二、一般公共预算支出情况</w:t>
      </w:r>
    </w:p>
    <w:p>
      <w:pPr>
        <w:pStyle w:val="1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2021年度，一般公共预算财政拨款预算数为1570.99万元，均为基本支出。2021年一般公共预算财政拨款实际基本支出2126.94万元，实际项目支出315.27万元。</w:t>
      </w:r>
    </w:p>
    <w:p>
      <w:pPr>
        <w:pStyle w:val="10"/>
        <w:numPr>
          <w:ilvl w:val="0"/>
          <w:numId w:val="4"/>
        </w:numPr>
        <w:spacing w:line="560" w:lineRule="exact"/>
        <w:ind w:firstLineChars="0"/>
        <w:rPr>
          <w:rFonts w:ascii="楷体_GB2312" w:hAnsi="仿宋" w:eastAsia="楷体_GB2312"/>
          <w:b/>
          <w:spacing w:val="-2"/>
          <w:sz w:val="32"/>
          <w:szCs w:val="32"/>
        </w:rPr>
      </w:pPr>
      <w:r>
        <w:rPr>
          <w:rFonts w:hint="eastAsia" w:ascii="楷体_GB2312" w:hAnsi="仿宋" w:eastAsia="楷体_GB2312"/>
          <w:b/>
          <w:spacing w:val="-2"/>
          <w:sz w:val="32"/>
          <w:szCs w:val="32"/>
        </w:rPr>
        <w:t>基本支出情况</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基本支出总额为2126.94万元，是指为保障单位机构正常运转、完成日常工作任务而发生的各项支出。其中：</w:t>
      </w:r>
    </w:p>
    <w:p>
      <w:pPr>
        <w:spacing w:line="560" w:lineRule="exact"/>
        <w:ind w:firstLine="474" w:firstLineChars="150"/>
        <w:rPr>
          <w:rFonts w:ascii="仿宋_GB2312" w:eastAsia="仿宋_GB2312"/>
          <w:spacing w:val="-2"/>
          <w:sz w:val="32"/>
          <w:szCs w:val="32"/>
        </w:rPr>
      </w:pPr>
      <w:r>
        <w:rPr>
          <w:rFonts w:hint="eastAsia" w:ascii="仿宋_GB2312" w:eastAsia="仿宋_GB2312"/>
          <w:b/>
          <w:spacing w:val="-2"/>
          <w:sz w:val="32"/>
          <w:szCs w:val="32"/>
        </w:rPr>
        <w:fldChar w:fldCharType="begin"/>
      </w:r>
      <w:r>
        <w:rPr>
          <w:rFonts w:hint="eastAsia" w:ascii="仿宋_GB2312" w:eastAsia="仿宋_GB2312"/>
          <w:b/>
          <w:spacing w:val="-2"/>
          <w:sz w:val="32"/>
          <w:szCs w:val="32"/>
        </w:rPr>
        <w:instrText xml:space="preserve"> = 1 \* GB1 </w:instrText>
      </w:r>
      <w:r>
        <w:rPr>
          <w:rFonts w:hint="eastAsia" w:ascii="仿宋_GB2312" w:eastAsia="仿宋_GB2312"/>
          <w:b/>
          <w:spacing w:val="-2"/>
          <w:sz w:val="32"/>
          <w:szCs w:val="32"/>
        </w:rPr>
        <w:fldChar w:fldCharType="separate"/>
      </w:r>
      <w:r>
        <w:rPr>
          <w:rFonts w:hint="eastAsia" w:ascii="仿宋_GB2312" w:eastAsia="仿宋_GB2312"/>
          <w:b/>
          <w:spacing w:val="-2"/>
          <w:sz w:val="32"/>
          <w:szCs w:val="32"/>
        </w:rPr>
        <w:t>⒈</w:t>
      </w:r>
      <w:r>
        <w:rPr>
          <w:rFonts w:hint="eastAsia" w:ascii="仿宋_GB2312" w:eastAsia="仿宋_GB2312"/>
          <w:b/>
          <w:spacing w:val="-2"/>
          <w:sz w:val="32"/>
          <w:szCs w:val="32"/>
        </w:rPr>
        <w:fldChar w:fldCharType="end"/>
      </w:r>
      <w:r>
        <w:rPr>
          <w:rFonts w:hint="eastAsia" w:ascii="仿宋_GB2312" w:eastAsia="仿宋_GB2312"/>
          <w:b/>
          <w:spacing w:val="-2"/>
          <w:sz w:val="32"/>
          <w:szCs w:val="32"/>
        </w:rPr>
        <w:t>工资福利支出1759.52万元</w:t>
      </w:r>
      <w:bookmarkStart w:id="2" w:name="_Hlk101459594"/>
      <w:r>
        <w:rPr>
          <w:rFonts w:hint="eastAsia" w:ascii="仿宋_GB2312" w:eastAsia="仿宋_GB2312"/>
          <w:b/>
          <w:spacing w:val="-2"/>
          <w:sz w:val="32"/>
          <w:szCs w:val="32"/>
        </w:rPr>
        <w:t>。</w:t>
      </w:r>
      <w:r>
        <w:rPr>
          <w:rFonts w:hint="eastAsia" w:ascii="仿宋_GB2312" w:eastAsia="仿宋_GB2312"/>
          <w:spacing w:val="-2"/>
          <w:sz w:val="32"/>
          <w:szCs w:val="32"/>
        </w:rPr>
        <w:t>占基本支出的82.73%，</w:t>
      </w:r>
      <w:bookmarkEnd w:id="2"/>
      <w:r>
        <w:rPr>
          <w:rFonts w:hint="eastAsia" w:ascii="仿宋_GB2312" w:eastAsia="仿宋_GB2312"/>
          <w:spacing w:val="-2"/>
          <w:sz w:val="32"/>
          <w:szCs w:val="32"/>
        </w:rPr>
        <w:t>包括用于基本工资、津贴补贴、社保缴费、住房公积金等。</w:t>
      </w:r>
      <w:bookmarkStart w:id="3" w:name="_Hlk101459610"/>
      <w:r>
        <w:rPr>
          <w:rFonts w:hint="eastAsia" w:ascii="仿宋_GB2312" w:eastAsia="仿宋_GB2312"/>
          <w:spacing w:val="-2"/>
          <w:sz w:val="32"/>
          <w:szCs w:val="32"/>
        </w:rPr>
        <w:t>比上年同期增加186.65万元，主要原因是</w:t>
      </w:r>
      <w:bookmarkEnd w:id="3"/>
      <w:r>
        <w:rPr>
          <w:rFonts w:hint="eastAsia" w:ascii="仿宋_GB2312" w:eastAsia="仿宋_GB2312"/>
          <w:spacing w:val="-2"/>
          <w:sz w:val="32"/>
          <w:szCs w:val="32"/>
        </w:rPr>
        <w:t>2020年我单位按有关政策对所辖承租户减免了疫情期间三个月租金，收入减少，无足够资金弥补人员经费缺口，部分社保费用延期至2021年支付。</w:t>
      </w:r>
    </w:p>
    <w:p>
      <w:pPr>
        <w:spacing w:line="560" w:lineRule="exact"/>
        <w:ind w:firstLine="632" w:firstLineChars="200"/>
        <w:rPr>
          <w:rFonts w:ascii="仿宋_GB2312" w:eastAsia="仿宋_GB2312"/>
          <w:spacing w:val="-2"/>
          <w:sz w:val="32"/>
          <w:szCs w:val="32"/>
        </w:rPr>
      </w:pPr>
      <w:r>
        <w:rPr>
          <w:rFonts w:hint="eastAsia" w:ascii="仿宋_GB2312" w:eastAsia="仿宋_GB2312"/>
          <w:b/>
          <w:spacing w:val="-2"/>
          <w:sz w:val="32"/>
          <w:szCs w:val="32"/>
        </w:rPr>
        <w:fldChar w:fldCharType="begin"/>
      </w:r>
      <w:r>
        <w:rPr>
          <w:rFonts w:hint="eastAsia" w:ascii="仿宋_GB2312" w:eastAsia="仿宋_GB2312"/>
          <w:b/>
          <w:spacing w:val="-2"/>
          <w:sz w:val="32"/>
          <w:szCs w:val="32"/>
        </w:rPr>
        <w:instrText xml:space="preserve"> = 2 \* GB1 </w:instrText>
      </w:r>
      <w:r>
        <w:rPr>
          <w:rFonts w:hint="eastAsia" w:ascii="仿宋_GB2312" w:eastAsia="仿宋_GB2312"/>
          <w:b/>
          <w:spacing w:val="-2"/>
          <w:sz w:val="32"/>
          <w:szCs w:val="32"/>
        </w:rPr>
        <w:fldChar w:fldCharType="separate"/>
      </w:r>
      <w:r>
        <w:rPr>
          <w:rFonts w:hint="eastAsia" w:ascii="仿宋_GB2312" w:eastAsia="仿宋_GB2312"/>
          <w:b/>
          <w:spacing w:val="-2"/>
          <w:sz w:val="32"/>
          <w:szCs w:val="32"/>
        </w:rPr>
        <w:t>⒉</w:t>
      </w:r>
      <w:r>
        <w:rPr>
          <w:rFonts w:hint="eastAsia" w:ascii="仿宋_GB2312" w:eastAsia="仿宋_GB2312"/>
          <w:b/>
          <w:spacing w:val="-2"/>
          <w:sz w:val="32"/>
          <w:szCs w:val="32"/>
        </w:rPr>
        <w:fldChar w:fldCharType="end"/>
      </w:r>
      <w:r>
        <w:rPr>
          <w:rFonts w:hint="eastAsia" w:ascii="仿宋_GB2312" w:eastAsia="仿宋_GB2312"/>
          <w:b/>
          <w:spacing w:val="-2"/>
          <w:sz w:val="32"/>
          <w:szCs w:val="32"/>
        </w:rPr>
        <w:t>对个人和家庭补助支出161.63万元。</w:t>
      </w:r>
      <w:r>
        <w:rPr>
          <w:rFonts w:hint="eastAsia" w:ascii="仿宋_GB2312" w:eastAsia="仿宋_GB2312"/>
          <w:spacing w:val="-2"/>
          <w:sz w:val="32"/>
          <w:szCs w:val="32"/>
        </w:rPr>
        <w:t>占基本支出的7.60%，包括离退休费、抚恤金、生活补助等。比上年同期减少56.18万元，主要原因是本年度退休人员未发放十三个月工资。</w:t>
      </w:r>
    </w:p>
    <w:p>
      <w:pPr>
        <w:spacing w:line="560" w:lineRule="exact"/>
        <w:ind w:firstLine="632" w:firstLineChars="200"/>
        <w:rPr>
          <w:rFonts w:ascii="仿宋_GB2312" w:eastAsia="仿宋_GB2312"/>
          <w:spacing w:val="-2"/>
          <w:sz w:val="32"/>
          <w:szCs w:val="32"/>
        </w:rPr>
      </w:pPr>
      <w:r>
        <w:rPr>
          <w:rFonts w:hint="eastAsia" w:ascii="仿宋_GB2312" w:eastAsia="仿宋_GB2312"/>
          <w:b/>
          <w:spacing w:val="-2"/>
          <w:sz w:val="32"/>
          <w:szCs w:val="32"/>
        </w:rPr>
        <w:fldChar w:fldCharType="begin"/>
      </w:r>
      <w:r>
        <w:rPr>
          <w:rFonts w:hint="eastAsia" w:ascii="仿宋_GB2312" w:eastAsia="仿宋_GB2312"/>
          <w:b/>
          <w:spacing w:val="-2"/>
          <w:sz w:val="32"/>
          <w:szCs w:val="32"/>
        </w:rPr>
        <w:instrText xml:space="preserve"> = 3 \* GB1 </w:instrText>
      </w:r>
      <w:r>
        <w:rPr>
          <w:rFonts w:hint="eastAsia" w:ascii="仿宋_GB2312" w:eastAsia="仿宋_GB2312"/>
          <w:b/>
          <w:spacing w:val="-2"/>
          <w:sz w:val="32"/>
          <w:szCs w:val="32"/>
        </w:rPr>
        <w:fldChar w:fldCharType="separate"/>
      </w:r>
      <w:r>
        <w:rPr>
          <w:rFonts w:hint="eastAsia" w:ascii="仿宋_GB2312" w:eastAsia="仿宋_GB2312"/>
          <w:b/>
          <w:spacing w:val="-2"/>
          <w:sz w:val="32"/>
          <w:szCs w:val="32"/>
        </w:rPr>
        <w:t>⒊</w:t>
      </w:r>
      <w:r>
        <w:rPr>
          <w:rFonts w:hint="eastAsia" w:ascii="仿宋_GB2312" w:eastAsia="仿宋_GB2312"/>
          <w:b/>
          <w:spacing w:val="-2"/>
          <w:sz w:val="32"/>
          <w:szCs w:val="32"/>
        </w:rPr>
        <w:fldChar w:fldCharType="end"/>
      </w:r>
      <w:r>
        <w:rPr>
          <w:rFonts w:hint="eastAsia" w:ascii="仿宋_GB2312" w:eastAsia="仿宋_GB2312"/>
          <w:b/>
          <w:spacing w:val="-2"/>
          <w:sz w:val="32"/>
          <w:szCs w:val="32"/>
        </w:rPr>
        <w:t>商品和服务支出205.79万元。</w:t>
      </w:r>
      <w:r>
        <w:rPr>
          <w:rFonts w:hint="eastAsia" w:ascii="仿宋_GB2312" w:eastAsia="仿宋_GB2312"/>
          <w:spacing w:val="-2"/>
          <w:sz w:val="32"/>
          <w:szCs w:val="32"/>
        </w:rPr>
        <w:t>占基本支出的9.67%，包括办公费、交通费、会议费、印刷费、水电费、物业费、办公设备购置等日常公用经费。比上年同期减少559.14万元，主要原因是我单位所辖罗家井市场完成提质改造后移交郴投集团经营管理，市场运转维护费用相应减少。</w:t>
      </w:r>
    </w:p>
    <w:p>
      <w:pPr>
        <w:spacing w:line="560" w:lineRule="exact"/>
        <w:ind w:firstLine="632" w:firstLineChars="200"/>
        <w:rPr>
          <w:rFonts w:ascii="仿宋_GB2312" w:eastAsia="仿宋_GB2312"/>
          <w:b/>
          <w:spacing w:val="-2"/>
          <w:sz w:val="32"/>
          <w:szCs w:val="32"/>
        </w:rPr>
      </w:pPr>
      <w:r>
        <w:rPr>
          <w:rFonts w:hint="eastAsia" w:ascii="仿宋_GB2312" w:eastAsia="仿宋_GB2312"/>
          <w:b/>
          <w:spacing w:val="-2"/>
          <w:sz w:val="32"/>
          <w:szCs w:val="32"/>
        </w:rPr>
        <w:fldChar w:fldCharType="begin"/>
      </w:r>
      <w:r>
        <w:rPr>
          <w:rFonts w:hint="eastAsia" w:ascii="仿宋_GB2312" w:eastAsia="仿宋_GB2312"/>
          <w:b/>
          <w:spacing w:val="-2"/>
          <w:sz w:val="32"/>
          <w:szCs w:val="32"/>
        </w:rPr>
        <w:instrText xml:space="preserve"> = 4 \* GB1 </w:instrText>
      </w:r>
      <w:r>
        <w:rPr>
          <w:rFonts w:hint="eastAsia" w:ascii="仿宋_GB2312" w:eastAsia="仿宋_GB2312"/>
          <w:b/>
          <w:spacing w:val="-2"/>
          <w:sz w:val="32"/>
          <w:szCs w:val="32"/>
        </w:rPr>
        <w:fldChar w:fldCharType="separate"/>
      </w:r>
      <w:r>
        <w:rPr>
          <w:rFonts w:hint="eastAsia" w:ascii="仿宋_GB2312" w:eastAsia="仿宋_GB2312"/>
          <w:b/>
          <w:spacing w:val="-2"/>
          <w:sz w:val="32"/>
          <w:szCs w:val="32"/>
        </w:rPr>
        <w:t>⒋</w:t>
      </w:r>
      <w:r>
        <w:rPr>
          <w:rFonts w:hint="eastAsia" w:ascii="仿宋_GB2312" w:eastAsia="仿宋_GB2312"/>
          <w:b/>
          <w:spacing w:val="-2"/>
          <w:sz w:val="32"/>
          <w:szCs w:val="32"/>
        </w:rPr>
        <w:fldChar w:fldCharType="end"/>
      </w:r>
      <w:r>
        <w:rPr>
          <w:rFonts w:hint="eastAsia" w:ascii="仿宋_GB2312" w:eastAsia="仿宋_GB2312"/>
          <w:b/>
          <w:spacing w:val="-2"/>
          <w:sz w:val="32"/>
          <w:szCs w:val="32"/>
        </w:rPr>
        <w:t>“三公”经费的使用和管理情况</w:t>
      </w:r>
    </w:p>
    <w:p>
      <w:pPr>
        <w:pStyle w:val="10"/>
        <w:spacing w:line="560" w:lineRule="exact"/>
        <w:ind w:firstLine="632"/>
        <w:rPr>
          <w:rFonts w:ascii="仿宋_GB2312" w:hAnsi="仿宋" w:eastAsia="仿宋_GB2312"/>
          <w:spacing w:val="-2"/>
          <w:sz w:val="32"/>
          <w:szCs w:val="32"/>
        </w:rPr>
      </w:pPr>
      <w:r>
        <w:rPr>
          <w:rFonts w:hint="eastAsia" w:ascii="仿宋_GB2312" w:hAnsi="仿宋" w:eastAsia="仿宋_GB2312"/>
          <w:spacing w:val="-2"/>
          <w:sz w:val="32"/>
          <w:szCs w:val="32"/>
        </w:rPr>
        <w:t>2021年“三公”经费预算5.8万元，实际支出1.63万元，其中因公出国（境）费0万元，公务用车购置及运行费1.43万元，公务接待费0.20万元，“三公”经费控制率为28.10%。</w:t>
      </w:r>
    </w:p>
    <w:p>
      <w:pPr>
        <w:pStyle w:val="10"/>
        <w:numPr>
          <w:ilvl w:val="0"/>
          <w:numId w:val="4"/>
        </w:numPr>
        <w:spacing w:line="560" w:lineRule="exact"/>
        <w:ind w:firstLineChars="0"/>
        <w:rPr>
          <w:rFonts w:ascii="楷体_GB2312" w:hAnsi="仿宋" w:eastAsia="楷体_GB2312"/>
          <w:b/>
          <w:spacing w:val="-2"/>
          <w:sz w:val="32"/>
          <w:szCs w:val="32"/>
        </w:rPr>
      </w:pPr>
      <w:r>
        <w:rPr>
          <w:rFonts w:hint="eastAsia" w:ascii="楷体_GB2312" w:hAnsi="仿宋" w:eastAsia="楷体_GB2312"/>
          <w:b/>
          <w:spacing w:val="-2"/>
          <w:sz w:val="32"/>
          <w:szCs w:val="32"/>
        </w:rPr>
        <w:t>项目支出情况</w:t>
      </w:r>
    </w:p>
    <w:p>
      <w:pPr>
        <w:pStyle w:val="10"/>
        <w:spacing w:line="560" w:lineRule="exact"/>
        <w:ind w:firstLine="632"/>
        <w:rPr>
          <w:rFonts w:ascii="仿宋_GB2312" w:hAnsi="仿宋" w:eastAsia="仿宋_GB2312"/>
          <w:spacing w:val="-2"/>
          <w:sz w:val="32"/>
          <w:szCs w:val="32"/>
        </w:rPr>
      </w:pPr>
      <w:r>
        <w:rPr>
          <w:rFonts w:hint="eastAsia" w:ascii="仿宋_GB2312" w:hAnsi="仿宋" w:eastAsia="仿宋_GB2312"/>
          <w:spacing w:val="-2"/>
          <w:sz w:val="32"/>
          <w:szCs w:val="32"/>
        </w:rPr>
        <w:t>2021年项目支出预算数0万元，上年度商贸事务支出结转34.34万元，本年度实际项目支出315.27万元。其中：</w:t>
      </w:r>
    </w:p>
    <w:p>
      <w:pPr>
        <w:pStyle w:val="10"/>
        <w:spacing w:line="560" w:lineRule="exact"/>
        <w:ind w:firstLine="643"/>
        <w:rPr>
          <w:rFonts w:ascii="仿宋_GB2312" w:hAnsi="仿宋" w:eastAsia="仿宋_GB2312"/>
          <w:spacing w:val="-2"/>
          <w:sz w:val="32"/>
          <w:szCs w:val="32"/>
        </w:rPr>
      </w:pPr>
      <w:r>
        <w:rPr>
          <w:rFonts w:hint="eastAsia" w:ascii="仿宋_GB2312" w:hAnsi="仿宋" w:eastAsia="仿宋_GB2312"/>
          <w:b/>
          <w:spacing w:val="-2"/>
          <w:sz w:val="32"/>
          <w:szCs w:val="32"/>
        </w:rPr>
        <w:fldChar w:fldCharType="begin"/>
      </w:r>
      <w:r>
        <w:rPr>
          <w:rFonts w:hint="eastAsia" w:ascii="仿宋_GB2312" w:hAnsi="仿宋" w:eastAsia="仿宋_GB2312"/>
          <w:b/>
          <w:spacing w:val="-2"/>
          <w:sz w:val="32"/>
          <w:szCs w:val="32"/>
        </w:rPr>
        <w:instrText xml:space="preserve"> = 1 \* GB1 </w:instrText>
      </w:r>
      <w:r>
        <w:rPr>
          <w:rFonts w:hint="eastAsia" w:ascii="仿宋_GB2312" w:hAnsi="仿宋" w:eastAsia="仿宋_GB2312"/>
          <w:b/>
          <w:spacing w:val="-2"/>
          <w:sz w:val="32"/>
          <w:szCs w:val="32"/>
        </w:rPr>
        <w:fldChar w:fldCharType="separate"/>
      </w:r>
      <w:r>
        <w:rPr>
          <w:rFonts w:hint="eastAsia" w:ascii="仿宋_GB2312" w:hAnsi="仿宋" w:eastAsia="仿宋_GB2312"/>
          <w:b/>
          <w:spacing w:val="-2"/>
          <w:sz w:val="32"/>
          <w:szCs w:val="32"/>
        </w:rPr>
        <w:t>⒈</w:t>
      </w:r>
      <w:r>
        <w:rPr>
          <w:rFonts w:hint="eastAsia" w:ascii="仿宋_GB2312" w:hAnsi="仿宋" w:eastAsia="仿宋_GB2312"/>
          <w:b/>
          <w:spacing w:val="-2"/>
          <w:sz w:val="32"/>
          <w:szCs w:val="32"/>
        </w:rPr>
        <w:fldChar w:fldCharType="end"/>
      </w:r>
      <w:r>
        <w:rPr>
          <w:rFonts w:hint="eastAsia" w:ascii="仿宋_GB2312" w:hAnsi="仿宋" w:eastAsia="仿宋_GB2312"/>
          <w:b/>
          <w:spacing w:val="-2"/>
          <w:sz w:val="32"/>
          <w:szCs w:val="32"/>
        </w:rPr>
        <w:t>北湖市场（一期）转型升级后续资金</w:t>
      </w:r>
      <w:bookmarkStart w:id="4" w:name="_Hlk101458105"/>
      <w:r>
        <w:rPr>
          <w:rFonts w:hint="eastAsia" w:ascii="仿宋_GB2312" w:hAnsi="仿宋" w:eastAsia="仿宋_GB2312"/>
          <w:b/>
          <w:spacing w:val="-2"/>
          <w:sz w:val="32"/>
          <w:szCs w:val="32"/>
        </w:rPr>
        <w:t>支出213.49万元</w:t>
      </w:r>
      <w:bookmarkEnd w:id="4"/>
      <w:r>
        <w:rPr>
          <w:rFonts w:hint="eastAsia" w:ascii="仿宋_GB2312" w:hAnsi="仿宋" w:eastAsia="仿宋_GB2312"/>
          <w:b/>
          <w:spacing w:val="-2"/>
          <w:sz w:val="32"/>
          <w:szCs w:val="32"/>
        </w:rPr>
        <w:t>。</w:t>
      </w:r>
      <w:r>
        <w:rPr>
          <w:rFonts w:hint="eastAsia" w:ascii="仿宋_GB2312" w:hAnsi="仿宋" w:eastAsia="仿宋_GB2312"/>
          <w:spacing w:val="-2"/>
          <w:sz w:val="32"/>
          <w:szCs w:val="32"/>
        </w:rPr>
        <w:t>我单位全力配合各县市区开展北湖市场（一期）未清退长期租赁门面的清退工作，合同清退率达96%，北马市场搬迁项目被评为郴州市优秀惠民项目。</w:t>
      </w:r>
    </w:p>
    <w:p>
      <w:pPr>
        <w:pStyle w:val="10"/>
        <w:spacing w:line="560" w:lineRule="exact"/>
        <w:ind w:firstLine="643"/>
        <w:rPr>
          <w:rFonts w:ascii="仿宋_GB2312" w:hAnsi="仿宋" w:eastAsia="仿宋_GB2312"/>
          <w:spacing w:val="-2"/>
          <w:sz w:val="32"/>
          <w:szCs w:val="32"/>
        </w:rPr>
      </w:pPr>
      <w:r>
        <w:rPr>
          <w:rFonts w:hint="eastAsia" w:ascii="仿宋_GB2312" w:hAnsi="仿宋" w:eastAsia="仿宋_GB2312"/>
          <w:b/>
          <w:spacing w:val="-2"/>
          <w:sz w:val="32"/>
          <w:szCs w:val="32"/>
        </w:rPr>
        <w:fldChar w:fldCharType="begin"/>
      </w:r>
      <w:r>
        <w:rPr>
          <w:rFonts w:hint="eastAsia" w:ascii="仿宋_GB2312" w:hAnsi="仿宋" w:eastAsia="仿宋_GB2312"/>
          <w:b/>
          <w:spacing w:val="-2"/>
          <w:sz w:val="32"/>
          <w:szCs w:val="32"/>
        </w:rPr>
        <w:instrText xml:space="preserve"> = 2 \* GB1 </w:instrText>
      </w:r>
      <w:r>
        <w:rPr>
          <w:rFonts w:hint="eastAsia" w:ascii="仿宋_GB2312" w:hAnsi="仿宋" w:eastAsia="仿宋_GB2312"/>
          <w:b/>
          <w:spacing w:val="-2"/>
          <w:sz w:val="32"/>
          <w:szCs w:val="32"/>
        </w:rPr>
        <w:fldChar w:fldCharType="separate"/>
      </w:r>
      <w:r>
        <w:rPr>
          <w:rFonts w:hint="eastAsia" w:ascii="仿宋_GB2312" w:hAnsi="仿宋" w:eastAsia="仿宋_GB2312"/>
          <w:b/>
          <w:spacing w:val="-2"/>
          <w:sz w:val="32"/>
          <w:szCs w:val="32"/>
        </w:rPr>
        <w:t>⒉</w:t>
      </w:r>
      <w:r>
        <w:rPr>
          <w:rFonts w:hint="eastAsia" w:ascii="仿宋_GB2312" w:hAnsi="仿宋" w:eastAsia="仿宋_GB2312"/>
          <w:b/>
          <w:spacing w:val="-2"/>
          <w:sz w:val="32"/>
          <w:szCs w:val="32"/>
        </w:rPr>
        <w:fldChar w:fldCharType="end"/>
      </w:r>
      <w:r>
        <w:rPr>
          <w:rFonts w:hint="eastAsia" w:ascii="仿宋_GB2312" w:hAnsi="仿宋" w:eastAsia="仿宋_GB2312"/>
          <w:b/>
          <w:spacing w:val="-2"/>
          <w:sz w:val="32"/>
          <w:szCs w:val="32"/>
        </w:rPr>
        <w:t>七星大市场钢架结构雨棚拆除费用29.10万元。</w:t>
      </w:r>
      <w:r>
        <w:rPr>
          <w:rFonts w:hint="eastAsia" w:ascii="仿宋_GB2312" w:hAnsi="仿宋" w:eastAsia="仿宋_GB2312"/>
          <w:spacing w:val="-2"/>
          <w:sz w:val="32"/>
          <w:szCs w:val="32"/>
        </w:rPr>
        <w:t>按照市机关事务管理局同意报废并安全拆除，资产处置收益严格执行“收支两条线”管理的有关要求，我单位将拆除下来的废旧物资（评估价格26.15万元）通过湖南省联合产权交易所公开发布资产转让信息并组织交易，在交易平台挂牌竞价转让，最终交易价格47.95万元，溢价率83.38%，拆除工程费用29.10万元，处置净收益18.85万元。</w:t>
      </w:r>
    </w:p>
    <w:p>
      <w:pPr>
        <w:pStyle w:val="10"/>
        <w:spacing w:line="560" w:lineRule="exact"/>
        <w:ind w:firstLine="643"/>
        <w:rPr>
          <w:rFonts w:ascii="仿宋_GB2312" w:hAnsi="仿宋" w:eastAsia="仿宋_GB2312"/>
          <w:spacing w:val="-2"/>
          <w:sz w:val="32"/>
          <w:szCs w:val="32"/>
        </w:rPr>
      </w:pPr>
      <w:r>
        <w:rPr>
          <w:rFonts w:hint="eastAsia" w:ascii="仿宋_GB2312" w:hAnsi="仿宋" w:eastAsia="仿宋_GB2312"/>
          <w:b/>
          <w:spacing w:val="-2"/>
          <w:sz w:val="32"/>
          <w:szCs w:val="32"/>
        </w:rPr>
        <w:fldChar w:fldCharType="begin"/>
      </w:r>
      <w:r>
        <w:rPr>
          <w:rFonts w:hint="eastAsia" w:ascii="仿宋_GB2312" w:hAnsi="仿宋" w:eastAsia="仿宋_GB2312"/>
          <w:b/>
          <w:spacing w:val="-2"/>
          <w:sz w:val="32"/>
          <w:szCs w:val="32"/>
        </w:rPr>
        <w:instrText xml:space="preserve"> = 3 \* GB1 </w:instrText>
      </w:r>
      <w:r>
        <w:rPr>
          <w:rFonts w:hint="eastAsia" w:ascii="仿宋_GB2312" w:hAnsi="仿宋" w:eastAsia="仿宋_GB2312"/>
          <w:b/>
          <w:spacing w:val="-2"/>
          <w:sz w:val="32"/>
          <w:szCs w:val="32"/>
        </w:rPr>
        <w:fldChar w:fldCharType="separate"/>
      </w:r>
      <w:r>
        <w:rPr>
          <w:rFonts w:hint="eastAsia" w:ascii="仿宋_GB2312" w:hAnsi="仿宋" w:eastAsia="仿宋_GB2312"/>
          <w:b/>
          <w:spacing w:val="-2"/>
          <w:sz w:val="32"/>
          <w:szCs w:val="32"/>
        </w:rPr>
        <w:t>⒊</w:t>
      </w:r>
      <w:r>
        <w:rPr>
          <w:rFonts w:hint="eastAsia" w:ascii="仿宋_GB2312" w:hAnsi="仿宋" w:eastAsia="仿宋_GB2312"/>
          <w:b/>
          <w:spacing w:val="-2"/>
          <w:sz w:val="32"/>
          <w:szCs w:val="32"/>
        </w:rPr>
        <w:fldChar w:fldCharType="end"/>
      </w:r>
      <w:r>
        <w:rPr>
          <w:rFonts w:hint="eastAsia" w:ascii="仿宋_GB2312" w:hAnsi="仿宋" w:eastAsia="仿宋_GB2312"/>
          <w:b/>
          <w:spacing w:val="-2"/>
          <w:sz w:val="32"/>
          <w:szCs w:val="32"/>
        </w:rPr>
        <w:t>市中心城区农产品批发市场搬迁资金支出72.68万元。</w:t>
      </w:r>
      <w:r>
        <w:rPr>
          <w:rFonts w:hint="eastAsia" w:ascii="仿宋_GB2312" w:hAnsi="仿宋" w:eastAsia="仿宋_GB2312"/>
          <w:spacing w:val="-2"/>
          <w:sz w:val="32"/>
          <w:szCs w:val="32"/>
        </w:rPr>
        <w:t>我单位成功引导七星大市场农批业态搬迁至中国供销郴州农副产品物流园后做好了安全维稳、清产核资等后续处置工作。</w:t>
      </w:r>
    </w:p>
    <w:p>
      <w:pPr>
        <w:pStyle w:val="10"/>
        <w:spacing w:line="560" w:lineRule="exact"/>
        <w:ind w:firstLine="640"/>
        <w:rPr>
          <w:rFonts w:ascii="黑体" w:hAnsi="黑体" w:eastAsia="黑体"/>
          <w:sz w:val="32"/>
          <w:szCs w:val="32"/>
        </w:rPr>
      </w:pPr>
      <w:r>
        <w:rPr>
          <w:rFonts w:hint="eastAsia" w:ascii="黑体" w:hAnsi="黑体" w:eastAsia="黑体"/>
          <w:sz w:val="32"/>
          <w:szCs w:val="32"/>
        </w:rPr>
        <w:t>三、政府性基金预算支出情况</w:t>
      </w:r>
    </w:p>
    <w:p>
      <w:pPr>
        <w:pStyle w:val="10"/>
        <w:spacing w:line="560" w:lineRule="exact"/>
        <w:ind w:left="630" w:firstLine="0" w:firstLineChars="0"/>
        <w:rPr>
          <w:rFonts w:ascii="仿宋_GB2312" w:hAnsi="仿宋" w:eastAsia="仿宋_GB2312"/>
          <w:spacing w:val="-2"/>
          <w:sz w:val="32"/>
          <w:szCs w:val="32"/>
        </w:rPr>
      </w:pPr>
      <w:r>
        <w:rPr>
          <w:rFonts w:hint="eastAsia" w:ascii="仿宋_GB2312" w:hAnsi="仿宋" w:eastAsia="仿宋_GB2312"/>
          <w:spacing w:val="-2"/>
          <w:sz w:val="32"/>
          <w:szCs w:val="32"/>
        </w:rPr>
        <w:t>我单位无政府性基金预算支出</w:t>
      </w:r>
    </w:p>
    <w:p>
      <w:pPr>
        <w:spacing w:line="560" w:lineRule="exact"/>
        <w:ind w:left="630"/>
        <w:jc w:val="left"/>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国有资本经营预算支出情况</w:t>
      </w:r>
    </w:p>
    <w:p>
      <w:pPr>
        <w:pStyle w:val="10"/>
        <w:spacing w:line="560" w:lineRule="exact"/>
        <w:ind w:firstLine="632"/>
        <w:rPr>
          <w:rFonts w:ascii="仿宋_GB2312" w:hAnsi="仿宋" w:eastAsia="仿宋_GB2312"/>
          <w:spacing w:val="-2"/>
          <w:sz w:val="32"/>
          <w:szCs w:val="32"/>
        </w:rPr>
      </w:pPr>
      <w:r>
        <w:rPr>
          <w:rFonts w:hint="eastAsia" w:ascii="仿宋_GB2312" w:hAnsi="仿宋" w:eastAsia="仿宋_GB2312"/>
          <w:spacing w:val="-2"/>
          <w:sz w:val="32"/>
          <w:szCs w:val="32"/>
        </w:rPr>
        <w:t>2021年国有资本经营预算支出预算数0万元，上年度结转187.78万元，实际发生国有资本经营预算支出187.78万元。其中：</w:t>
      </w:r>
    </w:p>
    <w:p>
      <w:pPr>
        <w:pStyle w:val="10"/>
        <w:spacing w:line="560" w:lineRule="exact"/>
        <w:ind w:firstLine="643"/>
        <w:rPr>
          <w:rFonts w:ascii="仿宋_GB2312" w:hAnsi="仿宋" w:eastAsia="仿宋_GB2312"/>
          <w:spacing w:val="-2"/>
          <w:sz w:val="32"/>
          <w:szCs w:val="32"/>
        </w:rPr>
      </w:pPr>
      <w:r>
        <w:rPr>
          <w:rFonts w:hint="eastAsia" w:ascii="仿宋_GB2312" w:hAnsi="仿宋" w:eastAsia="仿宋_GB2312"/>
          <w:b/>
          <w:spacing w:val="-2"/>
          <w:sz w:val="32"/>
          <w:szCs w:val="32"/>
        </w:rPr>
        <w:fldChar w:fldCharType="begin"/>
      </w:r>
      <w:r>
        <w:rPr>
          <w:rFonts w:hint="eastAsia" w:ascii="仿宋_GB2312" w:hAnsi="仿宋" w:eastAsia="仿宋_GB2312"/>
          <w:b/>
          <w:spacing w:val="-2"/>
          <w:sz w:val="32"/>
          <w:szCs w:val="32"/>
        </w:rPr>
        <w:instrText xml:space="preserve"> = 1 \* GB1 </w:instrText>
      </w:r>
      <w:r>
        <w:rPr>
          <w:rFonts w:hint="eastAsia" w:ascii="仿宋_GB2312" w:hAnsi="仿宋" w:eastAsia="仿宋_GB2312"/>
          <w:b/>
          <w:spacing w:val="-2"/>
          <w:sz w:val="32"/>
          <w:szCs w:val="32"/>
        </w:rPr>
        <w:fldChar w:fldCharType="separate"/>
      </w:r>
      <w:r>
        <w:rPr>
          <w:rFonts w:hint="eastAsia" w:ascii="仿宋_GB2312" w:hAnsi="仿宋" w:eastAsia="仿宋_GB2312"/>
          <w:b/>
          <w:spacing w:val="-2"/>
          <w:sz w:val="32"/>
          <w:szCs w:val="32"/>
        </w:rPr>
        <w:t>⒈</w:t>
      </w:r>
      <w:r>
        <w:rPr>
          <w:rFonts w:hint="eastAsia" w:ascii="仿宋_GB2312" w:hAnsi="仿宋" w:eastAsia="仿宋_GB2312"/>
          <w:b/>
          <w:spacing w:val="-2"/>
          <w:sz w:val="32"/>
          <w:szCs w:val="32"/>
        </w:rPr>
        <w:fldChar w:fldCharType="end"/>
      </w:r>
      <w:r>
        <w:rPr>
          <w:rFonts w:hint="eastAsia" w:ascii="仿宋_GB2312" w:hAnsi="仿宋" w:eastAsia="仿宋_GB2312"/>
          <w:b/>
          <w:spacing w:val="-2"/>
          <w:sz w:val="32"/>
          <w:szCs w:val="32"/>
        </w:rPr>
        <w:t>工资福利支出153.16万元。</w:t>
      </w:r>
      <w:r>
        <w:rPr>
          <w:rFonts w:hint="eastAsia" w:ascii="仿宋_GB2312" w:hAnsi="仿宋" w:eastAsia="仿宋_GB2312"/>
          <w:spacing w:val="-2"/>
          <w:sz w:val="32"/>
          <w:szCs w:val="32"/>
        </w:rPr>
        <w:t>包括用于基本工资、津贴补贴、社保缴费、住房公积金等。</w:t>
      </w:r>
    </w:p>
    <w:p>
      <w:pPr>
        <w:spacing w:line="560" w:lineRule="exact"/>
        <w:ind w:firstLine="632" w:firstLineChars="200"/>
        <w:rPr>
          <w:rFonts w:ascii="仿宋_GB2312" w:eastAsia="仿宋_GB2312"/>
          <w:spacing w:val="-2"/>
          <w:sz w:val="32"/>
          <w:szCs w:val="32"/>
        </w:rPr>
      </w:pPr>
      <w:r>
        <w:rPr>
          <w:rFonts w:hint="eastAsia" w:ascii="仿宋_GB2312" w:eastAsia="仿宋_GB2312"/>
          <w:b/>
          <w:spacing w:val="-2"/>
          <w:sz w:val="32"/>
          <w:szCs w:val="32"/>
        </w:rPr>
        <w:fldChar w:fldCharType="begin"/>
      </w:r>
      <w:r>
        <w:rPr>
          <w:rFonts w:hint="eastAsia" w:ascii="仿宋_GB2312" w:eastAsia="仿宋_GB2312"/>
          <w:b/>
          <w:spacing w:val="-2"/>
          <w:sz w:val="32"/>
          <w:szCs w:val="32"/>
        </w:rPr>
        <w:instrText xml:space="preserve"> = 2 \* GB1 </w:instrText>
      </w:r>
      <w:r>
        <w:rPr>
          <w:rFonts w:hint="eastAsia" w:ascii="仿宋_GB2312" w:eastAsia="仿宋_GB2312"/>
          <w:b/>
          <w:spacing w:val="-2"/>
          <w:sz w:val="32"/>
          <w:szCs w:val="32"/>
        </w:rPr>
        <w:fldChar w:fldCharType="separate"/>
      </w:r>
      <w:r>
        <w:rPr>
          <w:rFonts w:hint="eastAsia" w:ascii="仿宋_GB2312" w:eastAsia="仿宋_GB2312"/>
          <w:b/>
          <w:spacing w:val="-2"/>
          <w:sz w:val="32"/>
          <w:szCs w:val="32"/>
        </w:rPr>
        <w:t>⒉</w:t>
      </w:r>
      <w:r>
        <w:rPr>
          <w:rFonts w:hint="eastAsia" w:ascii="仿宋_GB2312" w:eastAsia="仿宋_GB2312"/>
          <w:b/>
          <w:spacing w:val="-2"/>
          <w:sz w:val="32"/>
          <w:szCs w:val="32"/>
        </w:rPr>
        <w:fldChar w:fldCharType="end"/>
      </w:r>
      <w:r>
        <w:rPr>
          <w:rFonts w:hint="eastAsia" w:ascii="仿宋_GB2312" w:eastAsia="仿宋_GB2312"/>
          <w:b/>
          <w:spacing w:val="-2"/>
          <w:sz w:val="32"/>
          <w:szCs w:val="32"/>
        </w:rPr>
        <w:t>对个人和家庭补助支出0.80万元。</w:t>
      </w:r>
      <w:r>
        <w:rPr>
          <w:rFonts w:hint="eastAsia" w:ascii="仿宋_GB2312" w:eastAsia="仿宋_GB2312"/>
          <w:spacing w:val="-2"/>
          <w:sz w:val="32"/>
          <w:szCs w:val="32"/>
        </w:rPr>
        <w:t>包括离退休费、抚恤金、生活补助等。</w:t>
      </w:r>
    </w:p>
    <w:p>
      <w:pPr>
        <w:spacing w:line="560" w:lineRule="exact"/>
        <w:ind w:firstLine="632" w:firstLineChars="200"/>
        <w:rPr>
          <w:rFonts w:ascii="仿宋_GB2312" w:eastAsia="仿宋_GB2312"/>
          <w:spacing w:val="-2"/>
          <w:sz w:val="32"/>
          <w:szCs w:val="32"/>
        </w:rPr>
      </w:pPr>
      <w:r>
        <w:rPr>
          <w:rFonts w:hint="eastAsia" w:ascii="仿宋_GB2312" w:eastAsia="仿宋_GB2312"/>
          <w:b/>
          <w:spacing w:val="-2"/>
          <w:sz w:val="32"/>
          <w:szCs w:val="32"/>
        </w:rPr>
        <w:fldChar w:fldCharType="begin"/>
      </w:r>
      <w:r>
        <w:rPr>
          <w:rFonts w:hint="eastAsia" w:ascii="仿宋_GB2312" w:eastAsia="仿宋_GB2312"/>
          <w:b/>
          <w:spacing w:val="-2"/>
          <w:sz w:val="32"/>
          <w:szCs w:val="32"/>
        </w:rPr>
        <w:instrText xml:space="preserve"> = 3 \* GB1 </w:instrText>
      </w:r>
      <w:r>
        <w:rPr>
          <w:rFonts w:hint="eastAsia" w:ascii="仿宋_GB2312" w:eastAsia="仿宋_GB2312"/>
          <w:b/>
          <w:spacing w:val="-2"/>
          <w:sz w:val="32"/>
          <w:szCs w:val="32"/>
        </w:rPr>
        <w:fldChar w:fldCharType="separate"/>
      </w:r>
      <w:r>
        <w:rPr>
          <w:rFonts w:hint="eastAsia" w:ascii="仿宋_GB2312" w:eastAsia="仿宋_GB2312"/>
          <w:b/>
          <w:spacing w:val="-2"/>
          <w:sz w:val="32"/>
          <w:szCs w:val="32"/>
        </w:rPr>
        <w:t>⒊</w:t>
      </w:r>
      <w:r>
        <w:rPr>
          <w:rFonts w:hint="eastAsia" w:ascii="仿宋_GB2312" w:eastAsia="仿宋_GB2312"/>
          <w:b/>
          <w:spacing w:val="-2"/>
          <w:sz w:val="32"/>
          <w:szCs w:val="32"/>
        </w:rPr>
        <w:fldChar w:fldCharType="end"/>
      </w:r>
      <w:r>
        <w:rPr>
          <w:rFonts w:hint="eastAsia" w:ascii="仿宋_GB2312" w:eastAsia="仿宋_GB2312"/>
          <w:b/>
          <w:spacing w:val="-2"/>
          <w:sz w:val="32"/>
          <w:szCs w:val="32"/>
        </w:rPr>
        <w:t>商品和服务支出33.67万元。</w:t>
      </w:r>
      <w:r>
        <w:rPr>
          <w:rFonts w:hint="eastAsia" w:ascii="仿宋_GB2312" w:eastAsia="仿宋_GB2312"/>
          <w:spacing w:val="-2"/>
          <w:sz w:val="32"/>
          <w:szCs w:val="32"/>
        </w:rPr>
        <w:t>包括办公费、交通费、会议费、印刷费、水电费、物业费、办公设备购置等日常公用经费。</w:t>
      </w:r>
    </w:p>
    <w:p>
      <w:pPr>
        <w:spacing w:line="560" w:lineRule="exact"/>
        <w:ind w:firstLine="632" w:firstLineChars="200"/>
        <w:rPr>
          <w:rFonts w:ascii="仿宋_GB2312" w:eastAsia="仿宋_GB2312"/>
          <w:spacing w:val="-2"/>
          <w:sz w:val="32"/>
          <w:szCs w:val="32"/>
        </w:rPr>
      </w:pPr>
      <w:r>
        <w:rPr>
          <w:rFonts w:hint="eastAsia" w:ascii="仿宋_GB2312" w:eastAsia="仿宋_GB2312"/>
          <w:b/>
          <w:spacing w:val="-2"/>
          <w:sz w:val="32"/>
          <w:szCs w:val="32"/>
        </w:rPr>
        <w:fldChar w:fldCharType="begin"/>
      </w:r>
      <w:r>
        <w:rPr>
          <w:rFonts w:hint="eastAsia" w:ascii="仿宋_GB2312" w:eastAsia="仿宋_GB2312"/>
          <w:b/>
          <w:spacing w:val="-2"/>
          <w:sz w:val="32"/>
          <w:szCs w:val="32"/>
        </w:rPr>
        <w:instrText xml:space="preserve"> = 4 \* GB1 </w:instrText>
      </w:r>
      <w:r>
        <w:rPr>
          <w:rFonts w:hint="eastAsia" w:ascii="仿宋_GB2312" w:eastAsia="仿宋_GB2312"/>
          <w:b/>
          <w:spacing w:val="-2"/>
          <w:sz w:val="32"/>
          <w:szCs w:val="32"/>
        </w:rPr>
        <w:fldChar w:fldCharType="separate"/>
      </w:r>
      <w:r>
        <w:rPr>
          <w:rFonts w:hint="eastAsia" w:ascii="仿宋_GB2312" w:eastAsia="仿宋_GB2312"/>
          <w:b/>
          <w:spacing w:val="-2"/>
          <w:sz w:val="32"/>
          <w:szCs w:val="32"/>
        </w:rPr>
        <w:t>⒋</w:t>
      </w:r>
      <w:r>
        <w:rPr>
          <w:rFonts w:hint="eastAsia" w:ascii="仿宋_GB2312" w:eastAsia="仿宋_GB2312"/>
          <w:b/>
          <w:spacing w:val="-2"/>
          <w:sz w:val="32"/>
          <w:szCs w:val="32"/>
        </w:rPr>
        <w:fldChar w:fldCharType="end"/>
      </w:r>
      <w:r>
        <w:rPr>
          <w:rFonts w:hint="eastAsia" w:ascii="仿宋_GB2312" w:eastAsia="仿宋_GB2312"/>
          <w:b/>
          <w:spacing w:val="-2"/>
          <w:sz w:val="32"/>
          <w:szCs w:val="32"/>
        </w:rPr>
        <w:t>资本性支出0.10万元。</w:t>
      </w:r>
      <w:r>
        <w:rPr>
          <w:rFonts w:hint="eastAsia" w:ascii="仿宋_GB2312" w:eastAsia="仿宋_GB2312"/>
          <w:spacing w:val="-2"/>
          <w:sz w:val="32"/>
          <w:szCs w:val="32"/>
        </w:rPr>
        <w:t>包括固定资产购置费。</w:t>
      </w:r>
    </w:p>
    <w:p>
      <w:pPr>
        <w:spacing w:line="560" w:lineRule="exact"/>
        <w:ind w:firstLine="645"/>
        <w:jc w:val="left"/>
        <w:rPr>
          <w:rFonts w:ascii="黑体" w:hAnsi="黑体" w:eastAsia="黑体"/>
          <w:sz w:val="32"/>
          <w:szCs w:val="32"/>
        </w:rPr>
      </w:pPr>
      <w:r>
        <w:rPr>
          <w:rFonts w:hint="eastAsia" w:ascii="黑体" w:hAnsi="黑体" w:eastAsia="黑体"/>
          <w:sz w:val="32"/>
          <w:szCs w:val="32"/>
        </w:rPr>
        <w:t>五、社会保险基金预算支出情况</w:t>
      </w:r>
    </w:p>
    <w:p>
      <w:pPr>
        <w:spacing w:line="560" w:lineRule="exact"/>
        <w:ind w:firstLine="645"/>
        <w:jc w:val="left"/>
        <w:rPr>
          <w:rFonts w:ascii="仿宋_GB2312" w:eastAsia="仿宋_GB2312" w:cs="仿宋_GB2312"/>
          <w:sz w:val="32"/>
          <w:szCs w:val="32"/>
        </w:rPr>
      </w:pPr>
      <w:r>
        <w:rPr>
          <w:rFonts w:hint="eastAsia" w:ascii="仿宋_GB2312" w:eastAsia="仿宋_GB2312" w:cs="仿宋_GB2312"/>
          <w:sz w:val="32"/>
          <w:szCs w:val="32"/>
        </w:rPr>
        <w:t>我单位无社会保险基金预算支出</w:t>
      </w:r>
    </w:p>
    <w:p>
      <w:pPr>
        <w:spacing w:line="560" w:lineRule="exact"/>
        <w:ind w:firstLine="645"/>
        <w:jc w:val="left"/>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、部门整体支出绩效情况</w:t>
      </w:r>
    </w:p>
    <w:p>
      <w:pPr>
        <w:spacing w:line="560" w:lineRule="exact"/>
        <w:ind w:firstLine="645"/>
        <w:jc w:val="left"/>
        <w:rPr>
          <w:rFonts w:ascii="仿宋_GB2312" w:eastAsia="仿宋_GB2312" w:cs="仿宋_GB2312"/>
          <w:color w:val="191919"/>
          <w:sz w:val="32"/>
          <w:szCs w:val="32"/>
          <w:shd w:val="clear" w:color="auto" w:fill="FFFFFF"/>
        </w:rPr>
      </w:pPr>
      <w:r>
        <w:rPr>
          <w:rFonts w:hint="eastAsia" w:ascii="仿宋_GB2312" w:eastAsia="仿宋_GB2312" w:cs="仿宋_GB2312"/>
          <w:sz w:val="32"/>
          <w:szCs w:val="32"/>
        </w:rPr>
        <w:t>2021年是我单位的自我革新之年。在市委、市政府的坚强领导下，在市商务局的指导下，我单位紧紧围绕“有为才有位”的指导思想，提高政治站位，勇于担当，主动作为，大力发扬“三牛”精神，苦干实干</w:t>
      </w:r>
      <w:r>
        <w:rPr>
          <w:rFonts w:hint="eastAsia" w:ascii="仿宋_GB2312" w:eastAsia="仿宋_GB2312" w:cs="仿宋_GB2312"/>
          <w:color w:val="191919"/>
          <w:sz w:val="32"/>
          <w:szCs w:val="32"/>
          <w:shd w:val="clear" w:color="auto" w:fill="FFFFFF"/>
        </w:rPr>
        <w:t>，确保了各项工作落地见效。</w:t>
      </w:r>
    </w:p>
    <w:p>
      <w:pPr>
        <w:spacing w:line="560" w:lineRule="exact"/>
        <w:ind w:firstLine="640" w:firstLineChars="200"/>
        <w:rPr>
          <w:rFonts w:ascii="楷体_GB2312" w:eastAsia="楷体_GB2312" w:cs="楷体_GB2312"/>
          <w:b/>
          <w:color w:val="191919"/>
          <w:sz w:val="32"/>
          <w:szCs w:val="32"/>
          <w:shd w:val="clear" w:color="auto" w:fill="FFFFFF"/>
        </w:rPr>
      </w:pPr>
      <w:r>
        <w:rPr>
          <w:rFonts w:hint="eastAsia" w:ascii="楷体_GB2312" w:eastAsia="楷体_GB2312" w:cs="楷体_GB2312"/>
          <w:b/>
          <w:bCs/>
          <w:sz w:val="32"/>
          <w:szCs w:val="32"/>
        </w:rPr>
        <w:fldChar w:fldCharType="begin"/>
      </w:r>
      <w:r>
        <w:rPr>
          <w:rFonts w:hint="eastAsia" w:ascii="楷体_GB2312" w:eastAsia="楷体_GB2312" w:cs="楷体_GB2312"/>
          <w:b/>
          <w:bCs/>
          <w:sz w:val="32"/>
          <w:szCs w:val="32"/>
        </w:rPr>
        <w:instrText xml:space="preserve"> = 1 \* GB4 </w:instrText>
      </w:r>
      <w:r>
        <w:rPr>
          <w:rFonts w:hint="eastAsia" w:ascii="楷体_GB2312" w:eastAsia="楷体_GB2312" w:cs="楷体_GB2312"/>
          <w:b/>
          <w:bCs/>
          <w:sz w:val="32"/>
          <w:szCs w:val="32"/>
        </w:rPr>
        <w:fldChar w:fldCharType="separate"/>
      </w:r>
      <w:r>
        <w:rPr>
          <w:rFonts w:hint="eastAsia" w:ascii="楷体_GB2312" w:eastAsia="楷体_GB2312" w:cs="楷体_GB2312"/>
          <w:b/>
          <w:bCs/>
          <w:sz w:val="32"/>
          <w:szCs w:val="32"/>
        </w:rPr>
        <w:t>㈠</w:t>
      </w:r>
      <w:r>
        <w:rPr>
          <w:rFonts w:hint="eastAsia" w:ascii="楷体_GB2312" w:eastAsia="楷体_GB2312" w:cs="楷体_GB2312"/>
          <w:b/>
          <w:bCs/>
          <w:sz w:val="32"/>
          <w:szCs w:val="32"/>
        </w:rPr>
        <w:fldChar w:fldCharType="end"/>
      </w:r>
      <w:r>
        <w:rPr>
          <w:rFonts w:hint="eastAsia" w:ascii="楷体_GB2312" w:eastAsia="楷体_GB2312" w:cs="楷体_GB2312"/>
          <w:b/>
          <w:bCs/>
          <w:sz w:val="32"/>
          <w:szCs w:val="32"/>
        </w:rPr>
        <w:t>善作为，扎实做好北湖市场搬迁后续工作</w:t>
      </w:r>
    </w:p>
    <w:p>
      <w:pPr>
        <w:pStyle w:val="12"/>
        <w:spacing w:after="0"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北湖市场一期搬迁关闭已近两年，因市场门面种类多、情况复杂，存在诸多历史遗留问题，我单位作为原北湖市场一期的主体，主动履职，开展了大量卓有成效的工作</w:t>
      </w:r>
      <w:r>
        <w:rPr>
          <w:rStyle w:val="13"/>
          <w:rFonts w:hint="eastAsia" w:ascii="仿宋_GB2312" w:hAnsi="仿宋" w:eastAsia="仿宋_GB2312" w:cs="仿宋_GB2312"/>
          <w:sz w:val="32"/>
          <w:szCs w:val="32"/>
        </w:rPr>
        <w:t>。</w:t>
      </w:r>
      <w:r>
        <w:rPr>
          <w:rFonts w:hint="eastAsia" w:ascii="仿宋_GB2312" w:hAnsi="仿宋" w:eastAsia="仿宋_GB2312"/>
          <w:bCs/>
          <w:sz w:val="32"/>
          <w:szCs w:val="32"/>
        </w:rPr>
        <w:t>一是高度重视、高频调度。单位</w:t>
      </w:r>
      <w:r>
        <w:rPr>
          <w:rFonts w:hint="eastAsia" w:ascii="仿宋_GB2312" w:hAnsi="仿宋" w:eastAsia="仿宋_GB2312"/>
          <w:sz w:val="32"/>
          <w:szCs w:val="32"/>
        </w:rPr>
        <w:t>主要负责人挂帅攻坚，亲自与商户见面或电话沟通。多次召开专题调度会，</w:t>
      </w:r>
      <w:r>
        <w:rPr>
          <w:rFonts w:hint="eastAsia" w:ascii="仿宋_GB2312" w:hAnsi="仿宋" w:eastAsia="仿宋_GB2312" w:cs="仿宋"/>
          <w:sz w:val="32"/>
          <w:szCs w:val="32"/>
        </w:rPr>
        <w:t>尤其是从8月26日以来，坚持每日一汇总、每周一调度，</w:t>
      </w:r>
      <w:r>
        <w:rPr>
          <w:rFonts w:hint="eastAsia" w:ascii="仿宋_GB2312" w:hAnsi="仿宋" w:eastAsia="仿宋_GB2312"/>
          <w:sz w:val="32"/>
          <w:szCs w:val="32"/>
        </w:rPr>
        <w:t>定期听取工作开展情况汇报，分析研判形势，解决困难和问题，全力推进搬迁后续工作。</w:t>
      </w:r>
      <w:r>
        <w:rPr>
          <w:rFonts w:hint="eastAsia" w:ascii="仿宋_GB2312" w:hAnsi="仿宋" w:eastAsia="仿宋_GB2312"/>
          <w:bCs/>
          <w:sz w:val="32"/>
          <w:szCs w:val="32"/>
        </w:rPr>
        <w:t>二是多措并举、攻坚克难。</w:t>
      </w:r>
      <w:r>
        <w:rPr>
          <w:rFonts w:hint="eastAsia" w:ascii="仿宋_GB2312" w:hAnsi="仿宋" w:eastAsia="仿宋_GB2312" w:cs="仿宋"/>
          <w:sz w:val="32"/>
          <w:szCs w:val="32"/>
        </w:rPr>
        <w:t>由市专项市场转型升级领导小组牵头，我单位联合属地政府，组建了“一对一”工作专班，采用登门拜访、面对面沟通的方式，进行清退劝导，促使未清退商户主动完成清退。</w:t>
      </w:r>
      <w:r>
        <w:rPr>
          <w:rFonts w:hint="eastAsia" w:ascii="仿宋_GB2312" w:hAnsi="仿宋" w:eastAsia="仿宋_GB2312"/>
          <w:sz w:val="32"/>
          <w:szCs w:val="32"/>
        </w:rPr>
        <w:t>同时依法依规完成了13个（11户）未清退天井招标门面的合同解除效力仲裁。</w:t>
      </w:r>
      <w:r>
        <w:rPr>
          <w:rFonts w:hint="eastAsia" w:ascii="仿宋_GB2312" w:hAnsi="仿宋" w:eastAsia="仿宋_GB2312" w:cs="仿宋"/>
          <w:sz w:val="32"/>
          <w:szCs w:val="32"/>
        </w:rPr>
        <w:t>截止12月底仅剩68个（61户）以息抵租类合同业主未完成合同保证金的退款领取手续。目前正整理以上未清退业主资料，准备按照合同条款依法依规提起民事诉讼，对未清退款实施司法提存。</w:t>
      </w:r>
      <w:r>
        <w:rPr>
          <w:rFonts w:hint="eastAsia" w:ascii="仿宋_GB2312" w:hAnsi="仿宋" w:eastAsia="仿宋_GB2312"/>
          <w:bCs/>
          <w:sz w:val="32"/>
          <w:szCs w:val="32"/>
        </w:rPr>
        <w:t>三是主动担当、积极应诉。</w:t>
      </w:r>
      <w:r>
        <w:rPr>
          <w:rFonts w:hint="eastAsia" w:ascii="仿宋_GB2312" w:hAnsi="仿宋" w:eastAsia="仿宋_GB2312"/>
          <w:sz w:val="32"/>
          <w:szCs w:val="32"/>
        </w:rPr>
        <w:t>市场关闭后，累计发生了四批次470人次共263件行政诉讼案。我单位积极以第三人身份参加了所有批次的行政诉讼案件的应诉工作，</w:t>
      </w:r>
      <w:r>
        <w:rPr>
          <w:rFonts w:hint="eastAsia" w:ascii="仿宋_GB2312" w:hAnsi="仿宋" w:eastAsia="仿宋_GB2312" w:cs="仿宋_GB2312"/>
          <w:sz w:val="32"/>
          <w:szCs w:val="32"/>
        </w:rPr>
        <w:t>主动与省高院、最高院充分沟通，确保了诉讼的依法有利判决。</w:t>
      </w:r>
      <w:r>
        <w:rPr>
          <w:rFonts w:hint="eastAsia" w:ascii="仿宋_GB2312" w:hAnsi="仿宋" w:eastAsia="仿宋_GB2312" w:cs="仿宋"/>
          <w:sz w:val="32"/>
          <w:szCs w:val="32"/>
        </w:rPr>
        <w:t>截止目前</w:t>
      </w:r>
      <w:r>
        <w:rPr>
          <w:rFonts w:hint="eastAsia" w:ascii="仿宋_GB2312" w:hAnsi="仿宋" w:eastAsia="仿宋_GB2312" w:cs="仿宋"/>
          <w:color w:val="000000"/>
          <w:sz w:val="32"/>
          <w:szCs w:val="32"/>
        </w:rPr>
        <w:t>所有多批次的行政诉讼我们全部胜诉。</w:t>
      </w:r>
      <w:r>
        <w:rPr>
          <w:rFonts w:hint="eastAsia" w:ascii="仿宋_GB2312" w:hAnsi="仿宋" w:eastAsia="仿宋_GB2312"/>
          <w:sz w:val="32"/>
          <w:szCs w:val="32"/>
        </w:rPr>
        <w:t>在应诉的同时，认真做好维稳息诉工作，全年累计走访接访300多人次，慰问困难商户20人次，</w:t>
      </w:r>
      <w:r>
        <w:rPr>
          <w:rFonts w:hint="eastAsia" w:ascii="仿宋_GB2312" w:hAnsi="仿宋" w:eastAsia="仿宋_GB2312" w:cs="仿宋"/>
          <w:color w:val="000000"/>
          <w:sz w:val="32"/>
          <w:szCs w:val="32"/>
        </w:rPr>
        <w:t>我们通过以案释法，诉讼主体从400多人降至68人。</w:t>
      </w:r>
      <w:r>
        <w:rPr>
          <w:rFonts w:hint="eastAsia" w:ascii="仿宋_GB2312" w:hAnsi="仿宋" w:eastAsia="仿宋_GB2312"/>
          <w:bCs/>
          <w:sz w:val="32"/>
          <w:szCs w:val="32"/>
        </w:rPr>
        <w:t>四是化解矛盾、确保稳定。</w:t>
      </w:r>
      <w:r>
        <w:rPr>
          <w:rFonts w:hint="eastAsia" w:ascii="仿宋_GB2312" w:hAnsi="仿宋" w:eastAsia="仿宋_GB2312"/>
          <w:sz w:val="32"/>
          <w:szCs w:val="32"/>
        </w:rPr>
        <w:t>在积极应诉的同时，认真做好维稳息诉工作。全年累计走访接访300多人次，慰问困难商户20人次，通过与商户面对面的沟通交流谈心，传导了市委市政府为民办实事的良苦用心，有效化解了商户的怨气和矛盾，极大地缓解了行政诉讼和维稳的压力，平息了舆情。</w:t>
      </w:r>
    </w:p>
    <w:p>
      <w:pPr>
        <w:pStyle w:val="12"/>
        <w:spacing w:after="0" w:line="56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因在北湖市场搬迁工作中成效突出，2021年我单位获市推进专项市场转型升级协调领导小组的通报表扬。</w:t>
      </w:r>
    </w:p>
    <w:p>
      <w:pPr>
        <w:spacing w:line="560" w:lineRule="exact"/>
        <w:ind w:firstLine="640" w:firstLineChars="200"/>
        <w:rPr>
          <w:rFonts w:ascii="楷体_GB2312" w:eastAsia="楷体_GB2312" w:cs="楷体_GB2312"/>
          <w:b/>
          <w:color w:val="191919"/>
          <w:sz w:val="32"/>
          <w:szCs w:val="32"/>
          <w:shd w:val="clear" w:color="auto" w:fill="FFFFFF"/>
        </w:rPr>
      </w:pPr>
      <w:r>
        <w:rPr>
          <w:rFonts w:hint="eastAsia" w:ascii="楷体_GB2312" w:eastAsia="楷体_GB2312" w:cs="楷体_GB2312"/>
          <w:b/>
          <w:bCs/>
          <w:sz w:val="32"/>
          <w:szCs w:val="32"/>
        </w:rPr>
        <w:fldChar w:fldCharType="begin"/>
      </w:r>
      <w:r>
        <w:rPr>
          <w:rFonts w:hint="eastAsia" w:ascii="楷体_GB2312" w:eastAsia="楷体_GB2312" w:cs="楷体_GB2312"/>
          <w:b/>
          <w:bCs/>
          <w:sz w:val="32"/>
          <w:szCs w:val="32"/>
        </w:rPr>
        <w:instrText xml:space="preserve"> = 2 \* GB4 </w:instrText>
      </w:r>
      <w:r>
        <w:rPr>
          <w:rFonts w:hint="eastAsia" w:ascii="楷体_GB2312" w:eastAsia="楷体_GB2312" w:cs="楷体_GB2312"/>
          <w:b/>
          <w:bCs/>
          <w:sz w:val="32"/>
          <w:szCs w:val="32"/>
        </w:rPr>
        <w:fldChar w:fldCharType="separate"/>
      </w:r>
      <w:r>
        <w:rPr>
          <w:rFonts w:hint="eastAsia" w:ascii="楷体_GB2312" w:eastAsia="楷体_GB2312" w:cs="楷体_GB2312"/>
          <w:b/>
          <w:bCs/>
          <w:sz w:val="32"/>
          <w:szCs w:val="32"/>
        </w:rPr>
        <w:t>㈡</w:t>
      </w:r>
      <w:r>
        <w:rPr>
          <w:rFonts w:hint="eastAsia" w:ascii="楷体_GB2312" w:eastAsia="楷体_GB2312" w:cs="楷体_GB2312"/>
          <w:b/>
          <w:bCs/>
          <w:sz w:val="32"/>
          <w:szCs w:val="32"/>
        </w:rPr>
        <w:fldChar w:fldCharType="end"/>
      </w:r>
      <w:r>
        <w:rPr>
          <w:rFonts w:hint="eastAsia" w:ascii="楷体_GB2312" w:eastAsia="楷体_GB2312" w:cs="楷体_GB2312"/>
          <w:b/>
          <w:bCs/>
          <w:sz w:val="32"/>
          <w:szCs w:val="32"/>
        </w:rPr>
        <w:t>有序开展七星大市场搬迁后续处置</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七星大市场于2020年12月20日平稳搬迁关停后，我单位以高度负责的态度认真做好了安全维稳、清产核资等后续处置工作。</w:t>
      </w:r>
      <w:r>
        <w:rPr>
          <w:rFonts w:hint="eastAsia" w:ascii="仿宋_GB2312" w:eastAsia="仿宋_GB2312" w:cs="仿宋"/>
          <w:bCs/>
          <w:sz w:val="32"/>
          <w:szCs w:val="32"/>
        </w:rPr>
        <w:t>一是</w:t>
      </w:r>
      <w:r>
        <w:rPr>
          <w:rFonts w:hint="eastAsia" w:ascii="仿宋_GB2312" w:eastAsia="仿宋_GB2312" w:cs="仿宋"/>
          <w:sz w:val="32"/>
          <w:szCs w:val="32"/>
        </w:rPr>
        <w:t>除保留消防和七星农贸市场必要的通道和部分停车场地外，其余场地均已腾退清空并实施了围档封闭，对围档内所有存在安全隐患的建筑物和顶棚进行了拆除和清理。对仍然使用市场水电管网，存在水管漏水和用电安全隐患的周边32个门面重新规范接通水电线路。同时</w:t>
      </w:r>
      <w:r>
        <w:rPr>
          <w:rFonts w:hint="eastAsia" w:ascii="仿宋_GB2312" w:eastAsia="仿宋_GB2312" w:cs="仿宋"/>
          <w:bCs/>
          <w:sz w:val="32"/>
          <w:szCs w:val="32"/>
        </w:rPr>
        <w:t>每日安排人员轮流</w:t>
      </w:r>
      <w:r>
        <w:rPr>
          <w:rFonts w:hint="eastAsia" w:ascii="仿宋_GB2312" w:eastAsia="仿宋_GB2312" w:cs="仿宋"/>
          <w:sz w:val="32"/>
          <w:szCs w:val="32"/>
        </w:rPr>
        <w:t>对围档内外及市场周边进行巡视，安排专人不定时对消防、水电设备进行维护检修，确保了市场安全。</w:t>
      </w:r>
      <w:r>
        <w:rPr>
          <w:rFonts w:hint="eastAsia" w:ascii="仿宋_GB2312" w:eastAsia="仿宋_GB2312" w:cs="仿宋"/>
          <w:bCs/>
          <w:sz w:val="32"/>
          <w:szCs w:val="32"/>
        </w:rPr>
        <w:t>二是市场搬迁后</w:t>
      </w:r>
      <w:r>
        <w:rPr>
          <w:rFonts w:hint="eastAsia" w:ascii="仿宋_GB2312" w:eastAsia="仿宋_GB2312" w:cs="仿宋"/>
          <w:sz w:val="32"/>
          <w:szCs w:val="32"/>
        </w:rPr>
        <w:t>周边部分私人产权和非农副产品业态的门店仍在继续经营，因无合同关系和管理权限，中心无法对其实行有效管理，导致市场围档外的卫生脏乱差和秩序混乱，群众意见很大，中心积极与属地政府、相关职能部门协调处理周边社会性事务，</w:t>
      </w:r>
      <w:r>
        <w:rPr>
          <w:rFonts w:hint="eastAsia" w:ascii="仿宋_GB2312" w:eastAsia="仿宋_GB2312" w:cs="仿宋"/>
          <w:bCs/>
          <w:sz w:val="32"/>
          <w:szCs w:val="32"/>
        </w:rPr>
        <w:t>确保了社会大局和谐稳定。三是</w:t>
      </w:r>
      <w:r>
        <w:rPr>
          <w:rFonts w:hint="eastAsia" w:ascii="仿宋_GB2312" w:eastAsia="仿宋_GB2312" w:cs="仿宋"/>
          <w:sz w:val="32"/>
          <w:szCs w:val="32"/>
        </w:rPr>
        <w:t>跟踪走访搬迁商户，对搬迁商户“扶上马、送一程”，积极协调解决商户在承接市场的经营困难和问题。</w:t>
      </w:r>
      <w:r>
        <w:rPr>
          <w:rFonts w:hint="eastAsia" w:ascii="仿宋_GB2312" w:eastAsia="仿宋_GB2312" w:cs="仿宋"/>
          <w:bCs/>
          <w:sz w:val="32"/>
          <w:szCs w:val="32"/>
        </w:rPr>
        <w:t>四是</w:t>
      </w:r>
      <w:r>
        <w:rPr>
          <w:rFonts w:hint="eastAsia" w:ascii="仿宋_GB2312" w:eastAsia="仿宋_GB2312" w:cs="仿宋"/>
          <w:sz w:val="32"/>
          <w:szCs w:val="32"/>
        </w:rPr>
        <w:t>委托专业公司对七星大市场资产负债与财务情况进行专项审计，进一步厘清债权债务、权属纠纷。积极协调债务事宜，并向主管局、市政府专项报告，促请市政府组织召开七星大市场债务处置协调会，及时终止了省财信管理公司对七星大市场资产的挂牌处置。五是多次建议市政府尽快确定原七星大市场的资产接收单位，规划开发，避免国有资产闲置。</w:t>
      </w:r>
    </w:p>
    <w:p>
      <w:pPr>
        <w:spacing w:line="560" w:lineRule="exact"/>
        <w:ind w:firstLine="640" w:firstLineChars="200"/>
        <w:rPr>
          <w:rFonts w:ascii="楷体_GB2312" w:eastAsia="楷体_GB2312" w:cs="楷体"/>
          <w:b/>
          <w:sz w:val="32"/>
          <w:szCs w:val="32"/>
          <w:shd w:val="clear" w:color="auto" w:fill="FFFFFF"/>
        </w:rPr>
      </w:pPr>
      <w:r>
        <w:rPr>
          <w:rFonts w:hint="eastAsia" w:ascii="楷体_GB2312" w:eastAsia="楷体_GB2312" w:cs="楷体_GB2312"/>
          <w:b/>
          <w:bCs/>
          <w:sz w:val="32"/>
          <w:szCs w:val="32"/>
        </w:rPr>
        <w:fldChar w:fldCharType="begin"/>
      </w:r>
      <w:r>
        <w:rPr>
          <w:rFonts w:hint="eastAsia" w:ascii="楷体_GB2312" w:eastAsia="楷体_GB2312" w:cs="楷体_GB2312"/>
          <w:b/>
          <w:bCs/>
          <w:sz w:val="32"/>
          <w:szCs w:val="32"/>
        </w:rPr>
        <w:instrText xml:space="preserve"> = 3 \* GB4 </w:instrText>
      </w:r>
      <w:r>
        <w:rPr>
          <w:rFonts w:hint="eastAsia" w:ascii="楷体_GB2312" w:eastAsia="楷体_GB2312" w:cs="楷体_GB2312"/>
          <w:b/>
          <w:bCs/>
          <w:sz w:val="32"/>
          <w:szCs w:val="32"/>
        </w:rPr>
        <w:fldChar w:fldCharType="separate"/>
      </w:r>
      <w:r>
        <w:rPr>
          <w:rFonts w:hint="eastAsia" w:ascii="楷体_GB2312" w:eastAsia="楷体_GB2312" w:cs="楷体_GB2312"/>
          <w:b/>
          <w:bCs/>
          <w:sz w:val="32"/>
          <w:szCs w:val="32"/>
        </w:rPr>
        <w:t>㈢</w:t>
      </w:r>
      <w:r>
        <w:rPr>
          <w:rFonts w:hint="eastAsia" w:ascii="楷体_GB2312" w:eastAsia="楷体_GB2312" w:cs="楷体_GB2312"/>
          <w:b/>
          <w:bCs/>
          <w:sz w:val="32"/>
          <w:szCs w:val="32"/>
        </w:rPr>
        <w:fldChar w:fldCharType="end"/>
      </w:r>
      <w:r>
        <w:rPr>
          <w:rFonts w:hint="eastAsia" w:ascii="楷体_GB2312" w:eastAsia="楷体_GB2312" w:cs="楷体_GB2312"/>
          <w:b/>
          <w:bCs/>
          <w:sz w:val="32"/>
          <w:szCs w:val="32"/>
        </w:rPr>
        <w:t>当标杆，</w:t>
      </w:r>
      <w:r>
        <w:rPr>
          <w:rFonts w:hint="eastAsia" w:ascii="楷体_GB2312" w:eastAsia="楷体_GB2312" w:cs="楷体"/>
          <w:b/>
          <w:sz w:val="32"/>
          <w:szCs w:val="32"/>
          <w:shd w:val="clear" w:color="auto" w:fill="FFFFFF"/>
        </w:rPr>
        <w:t>率先启动农贸市场提质升级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Style w:val="13"/>
          <w:rFonts w:hint="eastAsia" w:ascii="仿宋_GB2312" w:hAnsi="仿宋" w:eastAsia="仿宋_GB2312"/>
          <w:sz w:val="32"/>
          <w:szCs w:val="32"/>
        </w:rPr>
        <w:t>结合现代农贸市场的发展方向，</w:t>
      </w:r>
      <w:r>
        <w:rPr>
          <w:rFonts w:hint="eastAsia" w:ascii="仿宋_GB2312" w:eastAsia="仿宋_GB2312"/>
          <w:sz w:val="32"/>
          <w:szCs w:val="32"/>
        </w:rPr>
        <w:t>学习先进经验，</w:t>
      </w:r>
      <w:r>
        <w:rPr>
          <w:rFonts w:hint="eastAsia" w:ascii="仿宋_GB2312" w:eastAsia="仿宋_GB2312"/>
          <w:bCs/>
          <w:color w:val="000000"/>
          <w:sz w:val="32"/>
          <w:szCs w:val="32"/>
        </w:rPr>
        <w:t>发挥国有市场的样板和标杆作用，于</w:t>
      </w:r>
      <w:r>
        <w:rPr>
          <w:rFonts w:hint="eastAsia" w:ascii="仿宋_GB2312" w:eastAsia="仿宋_GB2312"/>
          <w:sz w:val="32"/>
          <w:szCs w:val="32"/>
        </w:rPr>
        <w:t>2020年4月，启动了罗家井市场的改造升级工程，拉开了我市城区农贸市场转型升级的大幕，带动全市农贸市场提质升级。2021年4月，罗家井市场改造完成。新罗家井市场是集休闲、购物、观光游览于一体的现代化新型智慧农贸市场，极大程度提高了市民的购物体验和获得感，受到了经营户、附近居民、购物市民的一致好评。罗家井农贸市场提质改造成为了市委市政府为民服务办实事的示范宣传窗口。</w:t>
      </w:r>
    </w:p>
    <w:p>
      <w:pPr>
        <w:spacing w:line="560" w:lineRule="exact"/>
        <w:ind w:firstLine="640" w:firstLineChars="200"/>
        <w:rPr>
          <w:rFonts w:ascii="楷体_GB2312" w:eastAsia="楷体_GB2312" w:cs="楷体_GB2312"/>
          <w:b/>
          <w:bCs/>
          <w:color w:val="191919"/>
          <w:sz w:val="32"/>
          <w:szCs w:val="32"/>
          <w:shd w:val="clear" w:color="auto" w:fill="FFFFFF"/>
        </w:rPr>
      </w:pPr>
      <w:r>
        <w:rPr>
          <w:rFonts w:hint="eastAsia" w:ascii="楷体_GB2312" w:eastAsia="楷体_GB2312" w:cs="楷体_GB2312"/>
          <w:b/>
          <w:bCs/>
          <w:sz w:val="32"/>
          <w:szCs w:val="32"/>
        </w:rPr>
        <w:fldChar w:fldCharType="begin"/>
      </w:r>
      <w:r>
        <w:rPr>
          <w:rFonts w:hint="eastAsia" w:ascii="楷体_GB2312" w:eastAsia="楷体_GB2312" w:cs="楷体_GB2312"/>
          <w:b/>
          <w:bCs/>
          <w:sz w:val="32"/>
          <w:szCs w:val="32"/>
        </w:rPr>
        <w:instrText xml:space="preserve"> = 4 \* GB4 </w:instrText>
      </w:r>
      <w:r>
        <w:rPr>
          <w:rFonts w:hint="eastAsia" w:ascii="楷体_GB2312" w:eastAsia="楷体_GB2312" w:cs="楷体_GB2312"/>
          <w:b/>
          <w:bCs/>
          <w:sz w:val="32"/>
          <w:szCs w:val="32"/>
        </w:rPr>
        <w:fldChar w:fldCharType="separate"/>
      </w:r>
      <w:r>
        <w:rPr>
          <w:rFonts w:hint="eastAsia" w:ascii="楷体_GB2312" w:eastAsia="楷体_GB2312" w:cs="楷体_GB2312"/>
          <w:b/>
          <w:bCs/>
          <w:sz w:val="32"/>
          <w:szCs w:val="32"/>
        </w:rPr>
        <w:t>㈣</w:t>
      </w:r>
      <w:r>
        <w:rPr>
          <w:rFonts w:hint="eastAsia" w:ascii="楷体_GB2312" w:eastAsia="楷体_GB2312" w:cs="楷体_GB2312"/>
          <w:b/>
          <w:bCs/>
          <w:sz w:val="32"/>
          <w:szCs w:val="32"/>
        </w:rPr>
        <w:fldChar w:fldCharType="end"/>
      </w:r>
      <w:r>
        <w:rPr>
          <w:rFonts w:hint="eastAsia" w:ascii="楷体_GB2312" w:eastAsia="楷体_GB2312" w:cs="楷体_GB2312"/>
          <w:b/>
          <w:bCs/>
          <w:sz w:val="32"/>
          <w:szCs w:val="32"/>
        </w:rPr>
        <w:t>勇担当，争做</w:t>
      </w:r>
      <w:r>
        <w:rPr>
          <w:rFonts w:hint="eastAsia" w:ascii="楷体_GB2312" w:eastAsia="楷体_GB2312" w:cs="楷体_GB2312"/>
          <w:b/>
          <w:bCs/>
          <w:color w:val="191919"/>
          <w:sz w:val="32"/>
          <w:szCs w:val="32"/>
          <w:shd w:val="clear" w:color="auto" w:fill="FFFFFF"/>
        </w:rPr>
        <w:t>巩文巩卫排头兵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今年是我市成功创建全国文明城市以来第一次接受国家、省级的实地暗访测评，同时也面临国家卫生城市国家级复审。农贸市场是文明城市实地测评、国卫复审的重点检查领域，迎检任务艰巨，使命光荣。</w:t>
      </w:r>
      <w:r>
        <w:rPr>
          <w:rFonts w:hint="eastAsia" w:ascii="仿宋_GB2312" w:eastAsia="仿宋_GB2312"/>
          <w:sz w:val="32"/>
          <w:szCs w:val="32"/>
        </w:rPr>
        <w:t>我单位牢固树立民本情怀，确立了国有市场应该要在全市的巩文巩卫中当先锋、作样板、竖旗帜的指导思想，全面深化市场文明创建，</w:t>
      </w:r>
      <w:r>
        <w:rPr>
          <w:rFonts w:hint="eastAsia" w:ascii="仿宋_GB2312" w:eastAsia="仿宋_GB2312" w:cs="仿宋_GB2312"/>
          <w:sz w:val="32"/>
          <w:szCs w:val="32"/>
        </w:rPr>
        <w:t>抓管理提质，率先实现了从迎检式的创建到常态化管理。所属下湄桥市场一直是省市先进农贸市场、市级平安市场，更是全市常态化管理的标杆与表率，是巩文巩卫必检市场，从没有出差错，为我市成功创建全国文明城市、国家卫生城市做出了重大的贡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在单位网站设立《创建全国文明城市》专栏，强化宣教舆论引导，营造出了浓厚的创文氛围。坚持“内增素质、外树形象”的文明创建思路，以创建“文明科室、文明市场部、文明职工、文明家庭、文明示范岗和服务明星”活动为载体，全面提高工作效率，树立良好形象，进一步把中心建设成为“文明礼仪好、环境卫生好、工作秩序好、团队精神好、办事效率高”的文明单位。开展“捡起一片垃圾，收获一份美好” “三清一化”、文明劝导等系列活动，进一步夯实巩文巩卫工作基础。</w:t>
      </w:r>
    </w:p>
    <w:p>
      <w:pPr>
        <w:spacing w:line="560" w:lineRule="exact"/>
        <w:ind w:firstLine="640" w:firstLineChars="200"/>
        <w:rPr>
          <w:rFonts w:ascii="楷体_GB2312" w:eastAsia="楷体_GB2312" w:cs="仿宋_GB2312"/>
          <w:b/>
          <w:color w:val="191919"/>
          <w:sz w:val="32"/>
          <w:szCs w:val="32"/>
          <w:shd w:val="clear" w:color="auto" w:fill="FFFFFF"/>
        </w:rPr>
      </w:pPr>
      <w:r>
        <w:rPr>
          <w:rFonts w:hint="eastAsia" w:ascii="楷体_GB2312" w:eastAsia="楷体_GB2312" w:cs="仿宋_GB2312"/>
          <w:b/>
          <w:color w:val="191919"/>
          <w:sz w:val="32"/>
          <w:szCs w:val="32"/>
          <w:shd w:val="clear" w:color="auto" w:fill="FFFFFF"/>
        </w:rPr>
        <w:fldChar w:fldCharType="begin"/>
      </w:r>
      <w:r>
        <w:rPr>
          <w:rFonts w:hint="eastAsia" w:ascii="楷体_GB2312" w:eastAsia="楷体_GB2312" w:cs="仿宋_GB2312"/>
          <w:b/>
          <w:color w:val="191919"/>
          <w:sz w:val="32"/>
          <w:szCs w:val="32"/>
          <w:shd w:val="clear" w:color="auto" w:fill="FFFFFF"/>
        </w:rPr>
        <w:instrText xml:space="preserve"> = 5 \* GB4 </w:instrText>
      </w:r>
      <w:r>
        <w:rPr>
          <w:rFonts w:hint="eastAsia" w:ascii="楷体_GB2312" w:eastAsia="楷体_GB2312" w:cs="仿宋_GB2312"/>
          <w:b/>
          <w:color w:val="191919"/>
          <w:sz w:val="32"/>
          <w:szCs w:val="32"/>
          <w:shd w:val="clear" w:color="auto" w:fill="FFFFFF"/>
        </w:rPr>
        <w:fldChar w:fldCharType="separate"/>
      </w:r>
      <w:r>
        <w:rPr>
          <w:rFonts w:hint="eastAsia" w:ascii="楷体_GB2312" w:eastAsia="楷体_GB2312" w:cs="仿宋_GB2312"/>
          <w:b/>
          <w:color w:val="191919"/>
          <w:sz w:val="32"/>
          <w:szCs w:val="32"/>
          <w:shd w:val="clear" w:color="auto" w:fill="FFFFFF"/>
        </w:rPr>
        <w:t>㈤</w:t>
      </w:r>
      <w:r>
        <w:rPr>
          <w:rFonts w:hint="eastAsia" w:ascii="楷体_GB2312" w:eastAsia="楷体_GB2312" w:cs="仿宋_GB2312"/>
          <w:b/>
          <w:color w:val="191919"/>
          <w:sz w:val="32"/>
          <w:szCs w:val="32"/>
          <w:shd w:val="clear" w:color="auto" w:fill="FFFFFF"/>
        </w:rPr>
        <w:fldChar w:fldCharType="end"/>
      </w:r>
      <w:r>
        <w:rPr>
          <w:rFonts w:hint="eastAsia" w:ascii="楷体_GB2312" w:eastAsia="楷体_GB2312" w:cs="仿宋_GB2312"/>
          <w:b/>
          <w:color w:val="191919"/>
          <w:sz w:val="32"/>
          <w:szCs w:val="32"/>
          <w:shd w:val="clear" w:color="auto" w:fill="FFFFFF"/>
        </w:rPr>
        <w:t>保平安，时刻绷紧安全生产弦</w:t>
      </w:r>
    </w:p>
    <w:p>
      <w:pPr>
        <w:spacing w:line="560" w:lineRule="exact"/>
        <w:ind w:firstLine="624" w:firstLineChars="200"/>
        <w:rPr>
          <w:rFonts w:ascii="仿宋_GB2312" w:eastAsia="仿宋_GB2312"/>
          <w:sz w:val="32"/>
          <w:szCs w:val="32"/>
        </w:rPr>
      </w:pPr>
      <w:r>
        <w:rPr>
          <w:rFonts w:hint="eastAsia" w:ascii="仿宋_GB2312" w:eastAsia="仿宋_GB2312"/>
          <w:spacing w:val="-4"/>
          <w:sz w:val="32"/>
          <w:szCs w:val="32"/>
        </w:rPr>
        <w:t>牢固树立安全发展意识，</w:t>
      </w:r>
      <w:r>
        <w:rPr>
          <w:rFonts w:hint="eastAsia" w:ascii="仿宋_GB2312" w:eastAsia="仿宋_GB2312"/>
          <w:sz w:val="32"/>
          <w:szCs w:val="32"/>
          <w:shd w:val="clear" w:color="auto" w:fill="FFFFFF"/>
        </w:rPr>
        <w:t>以“生命至上、安全第一”的理念，</w:t>
      </w:r>
      <w:r>
        <w:rPr>
          <w:rFonts w:hint="eastAsia" w:ascii="仿宋_GB2312" w:eastAsia="仿宋_GB2312"/>
          <w:spacing w:val="-4"/>
          <w:sz w:val="32"/>
          <w:szCs w:val="32"/>
        </w:rPr>
        <w:t>层层压实责任，</w:t>
      </w:r>
      <w:r>
        <w:rPr>
          <w:rFonts w:hint="eastAsia" w:ascii="仿宋_GB2312" w:eastAsia="仿宋_GB2312"/>
          <w:sz w:val="32"/>
          <w:szCs w:val="32"/>
          <w:shd w:val="clear" w:color="auto" w:fill="FFFFFF"/>
        </w:rPr>
        <w:t>落实落细防范措施，</w:t>
      </w:r>
      <w:r>
        <w:rPr>
          <w:rFonts w:hint="eastAsia" w:ascii="仿宋_GB2312" w:eastAsia="仿宋_GB2312"/>
          <w:spacing w:val="-4"/>
          <w:sz w:val="32"/>
          <w:szCs w:val="32"/>
        </w:rPr>
        <w:t>强力抓好安全常态管理，以扎实有效的工作确保了中心全年无安全事件发生。</w:t>
      </w:r>
    </w:p>
    <w:p>
      <w:pPr>
        <w:spacing w:line="560" w:lineRule="exact"/>
        <w:ind w:firstLine="624" w:firstLineChars="200"/>
        <w:rPr>
          <w:rFonts w:ascii="仿宋_GB2312" w:eastAsia="仿宋_GB2312"/>
          <w:sz w:val="32"/>
          <w:szCs w:val="32"/>
        </w:rPr>
      </w:pPr>
      <w:r>
        <w:rPr>
          <w:rFonts w:hint="eastAsia" w:ascii="仿宋_GB2312" w:eastAsia="仿宋_GB2312"/>
          <w:spacing w:val="-4"/>
          <w:sz w:val="32"/>
          <w:szCs w:val="32"/>
        </w:rPr>
        <w:t>在下湄桥市场大力开展平安市场建设，</w:t>
      </w:r>
      <w:r>
        <w:rPr>
          <w:rFonts w:hint="eastAsia" w:ascii="仿宋_GB2312" w:eastAsia="仿宋_GB2312"/>
          <w:sz w:val="32"/>
          <w:szCs w:val="32"/>
        </w:rPr>
        <w:t>为市民营造了安全稳定的市场环境。汲取</w:t>
      </w:r>
      <w:r>
        <w:rPr>
          <w:rFonts w:hint="eastAsia" w:ascii="仿宋_GB2312" w:eastAsia="仿宋_GB2312" w:cs="仿宋_GB2312"/>
          <w:color w:val="191919"/>
          <w:sz w:val="32"/>
          <w:szCs w:val="32"/>
          <w:shd w:val="clear" w:color="auto" w:fill="FFFFFF"/>
        </w:rPr>
        <w:t>湖北十堰大爆炸事件</w:t>
      </w:r>
      <w:r>
        <w:rPr>
          <w:rFonts w:hint="eastAsia" w:ascii="仿宋_GB2312" w:eastAsia="仿宋_GB2312"/>
          <w:sz w:val="32"/>
          <w:szCs w:val="32"/>
        </w:rPr>
        <w:t>教训，展开拉网式风险隐患大排查大整治，以“全覆盖、零容忍”的态度全面检查市场的电器线路、消防设施设备，逐一对167个门面摊位、8600多平方米的市场经营区域进行了排查，对发现的问题能现场指导纠改的立即整改，不能立即整改的限期整改，切实把风险隐患发现在早、化解在小，牢牢守住安全生产底线；协调下湄桥街道金桥社区对市场周边住户开展了安全知识宣传和隐患排查。下湄桥农贸市场荣获2021年度市级“平安市场”。</w:t>
      </w:r>
    </w:p>
    <w:p>
      <w:pPr>
        <w:spacing w:line="560" w:lineRule="exact"/>
        <w:ind w:firstLine="480" w:firstLineChars="150"/>
        <w:rPr>
          <w:rFonts w:ascii="仿宋_GB2312" w:eastAsia="仿宋_GB2312" w:cs="仿宋_GB2312"/>
          <w:color w:val="191919"/>
          <w:sz w:val="32"/>
          <w:szCs w:val="32"/>
          <w:shd w:val="clear" w:color="auto" w:fill="FFFFFF"/>
        </w:rPr>
      </w:pPr>
      <w:r>
        <w:rPr>
          <w:rFonts w:hint="eastAsia" w:ascii="仿宋_GB2312" w:eastAsia="仿宋_GB2312" w:cs="仿宋_GB2312"/>
          <w:color w:val="191919"/>
          <w:sz w:val="32"/>
          <w:szCs w:val="32"/>
          <w:shd w:val="clear" w:color="auto" w:fill="FFFFFF"/>
        </w:rPr>
        <w:t>加强对市中心城区农贸市场的日常监管，积极贯彻落实中省市安全生产电视电话会议精神，主动摸排出城区34个农贸市场的安全隐患问题共103个，形成问题清单上报至市专项市场转型升级协调领导小组，并配合市场监管、城管、消防、公安交警等相关职能部门开展农贸市场安全生产整治行动。</w:t>
      </w:r>
    </w:p>
    <w:p>
      <w:pPr>
        <w:spacing w:line="560" w:lineRule="exact"/>
        <w:ind w:firstLine="480" w:firstLineChars="150"/>
        <w:rPr>
          <w:rFonts w:eastAsia="仿宋"/>
          <w:sz w:val="32"/>
          <w:szCs w:val="32"/>
        </w:rPr>
      </w:pPr>
      <w:r>
        <w:rPr>
          <w:rFonts w:hint="eastAsia" w:ascii="仿宋_GB2312" w:eastAsia="仿宋_GB2312" w:cs="仿宋_GB2312"/>
          <w:color w:val="191919"/>
          <w:sz w:val="32"/>
          <w:szCs w:val="32"/>
          <w:shd w:val="clear" w:color="auto" w:fill="FFFFFF"/>
        </w:rPr>
        <w:t>同时</w:t>
      </w:r>
      <w:r>
        <w:rPr>
          <w:rFonts w:hint="eastAsia" w:ascii="仿宋_GB2312" w:eastAsia="仿宋_GB2312" w:cs="仿宋"/>
          <w:sz w:val="32"/>
          <w:szCs w:val="32"/>
        </w:rPr>
        <w:t>中心</w:t>
      </w:r>
      <w:r>
        <w:rPr>
          <w:rFonts w:hint="eastAsia" w:ascii="仿宋_GB2312" w:eastAsia="仿宋_GB2312" w:cs="仿宋"/>
          <w:bCs/>
          <w:sz w:val="32"/>
          <w:szCs w:val="32"/>
        </w:rPr>
        <w:t>积极落实综治安全，</w:t>
      </w:r>
      <w:r>
        <w:rPr>
          <w:rFonts w:hint="eastAsia" w:ascii="仿宋_GB2312" w:eastAsia="仿宋_GB2312" w:cs="仿宋"/>
          <w:sz w:val="32"/>
          <w:szCs w:val="32"/>
        </w:rPr>
        <w:t>平安创建工作制度完善，综治民调工作落实到位。对市场治安和稳定形势进行实时监控、分析研判和督办查办，全力强化市场综治安全。中心全年无单位领导班子成员被立案查处的违纪违法行为，无任何刑事治安案件发生，无黄赌毒现象，无交通火灾事故，无涉邪教案件，无到市赴省进京非正常上访事件。</w:t>
      </w:r>
    </w:p>
    <w:p>
      <w:pPr>
        <w:spacing w:line="560" w:lineRule="exact"/>
        <w:ind w:firstLine="640" w:firstLineChars="200"/>
        <w:rPr>
          <w:rFonts w:ascii="楷体_GB2312" w:eastAsia="楷体_GB2312" w:cs="楷体_GB2312"/>
          <w:b/>
          <w:sz w:val="32"/>
          <w:szCs w:val="32"/>
        </w:rPr>
      </w:pPr>
      <w:r>
        <w:rPr>
          <w:rFonts w:hint="eastAsia" w:ascii="楷体_GB2312" w:eastAsia="楷体_GB2312" w:cs="楷体_GB2312"/>
          <w:b/>
          <w:bCs/>
          <w:sz w:val="32"/>
          <w:szCs w:val="32"/>
        </w:rPr>
        <w:fldChar w:fldCharType="begin"/>
      </w:r>
      <w:r>
        <w:rPr>
          <w:rFonts w:hint="eastAsia" w:ascii="楷体_GB2312" w:eastAsia="楷体_GB2312" w:cs="楷体_GB2312"/>
          <w:b/>
          <w:bCs/>
          <w:sz w:val="32"/>
          <w:szCs w:val="32"/>
        </w:rPr>
        <w:instrText xml:space="preserve"> = 6 \* GB4 </w:instrText>
      </w:r>
      <w:r>
        <w:rPr>
          <w:rFonts w:hint="eastAsia" w:ascii="楷体_GB2312" w:eastAsia="楷体_GB2312" w:cs="楷体_GB2312"/>
          <w:b/>
          <w:bCs/>
          <w:sz w:val="32"/>
          <w:szCs w:val="32"/>
        </w:rPr>
        <w:fldChar w:fldCharType="separate"/>
      </w:r>
      <w:r>
        <w:rPr>
          <w:rFonts w:hint="eastAsia" w:ascii="楷体_GB2312" w:eastAsia="楷体_GB2312" w:cs="楷体_GB2312"/>
          <w:b/>
          <w:bCs/>
          <w:sz w:val="32"/>
          <w:szCs w:val="32"/>
        </w:rPr>
        <w:t>㈥</w:t>
      </w:r>
      <w:r>
        <w:rPr>
          <w:rFonts w:hint="eastAsia" w:ascii="楷体_GB2312" w:eastAsia="楷体_GB2312" w:cs="楷体_GB2312"/>
          <w:b/>
          <w:bCs/>
          <w:sz w:val="32"/>
          <w:szCs w:val="32"/>
        </w:rPr>
        <w:fldChar w:fldCharType="end"/>
      </w:r>
      <w:r>
        <w:rPr>
          <w:rFonts w:hint="eastAsia" w:ascii="楷体_GB2312" w:eastAsia="楷体_GB2312" w:cs="楷体_GB2312"/>
          <w:b/>
          <w:bCs/>
          <w:sz w:val="32"/>
          <w:szCs w:val="32"/>
        </w:rPr>
        <w:t>严落实，持之以恒抓好疫情防控</w:t>
      </w:r>
    </w:p>
    <w:p>
      <w:pPr>
        <w:spacing w:line="560" w:lineRule="exact"/>
        <w:ind w:firstLine="640" w:firstLineChars="200"/>
        <w:rPr>
          <w:rFonts w:ascii="仿宋_GB2312" w:eastAsia="仿宋_GB2312"/>
          <w:sz w:val="32"/>
          <w:szCs w:val="32"/>
        </w:rPr>
      </w:pPr>
      <w:r>
        <w:rPr>
          <w:rFonts w:hint="eastAsia" w:ascii="仿宋_GB2312" w:eastAsia="仿宋_GB2312" w:cs="仿宋_GB2312"/>
          <w:bCs/>
          <w:color w:val="000000"/>
          <w:sz w:val="32"/>
          <w:szCs w:val="32"/>
        </w:rPr>
        <w:t>面对国内外依旧严峻复杂的疫情防控形势，</w:t>
      </w:r>
      <w:r>
        <w:rPr>
          <w:rFonts w:hint="eastAsia" w:ascii="仿宋_GB2312" w:eastAsia="仿宋_GB2312" w:cs="仿宋_GB2312"/>
          <w:color w:val="000000"/>
          <w:sz w:val="32"/>
          <w:szCs w:val="32"/>
        </w:rPr>
        <w:t>中心党委</w:t>
      </w:r>
      <w:r>
        <w:rPr>
          <w:rFonts w:hint="eastAsia" w:ascii="仿宋_GB2312" w:eastAsia="仿宋_GB2312" w:cs="仿宋_GB2312"/>
          <w:sz w:val="32"/>
          <w:szCs w:val="32"/>
        </w:rPr>
        <w:t>深入学习贯彻习近平总书记关于疫情防控工作的重要指示精神，落实党中央、国务院各项决策部署，始终坚持“外防输入、内防反弹”，带领全体干部职工</w:t>
      </w:r>
      <w:r>
        <w:rPr>
          <w:rFonts w:hint="eastAsia" w:ascii="仿宋_GB2312" w:eastAsia="仿宋_GB2312"/>
          <w:sz w:val="32"/>
          <w:szCs w:val="32"/>
        </w:rPr>
        <w:t>始终战斗在一线，保障人民群众的身体健康和生命安全。</w:t>
      </w:r>
      <w:r>
        <w:rPr>
          <w:rFonts w:hint="eastAsia" w:ascii="仿宋_GB2312" w:eastAsia="仿宋_GB2312"/>
          <w:bCs/>
          <w:sz w:val="32"/>
          <w:szCs w:val="32"/>
        </w:rPr>
        <w:t>一是</w:t>
      </w:r>
      <w:r>
        <w:rPr>
          <w:rFonts w:hint="eastAsia" w:ascii="仿宋_GB2312" w:eastAsia="仿宋_GB2312" w:cs="仿宋_GB2312"/>
          <w:sz w:val="32"/>
          <w:szCs w:val="32"/>
        </w:rPr>
        <w:t>加强市场商品交易行为的监督，落实实名登记、验视和可疑物品报告制度；进一步加强农贸市场冷链食品的管控，严格执行市场准入制，按要求督促从业人员定期开展核酸检测，每日查验冷链食品“四证”和“湘冷链”追溯码。</w:t>
      </w:r>
      <w:r>
        <w:rPr>
          <w:rFonts w:hint="eastAsia" w:ascii="仿宋_GB2312" w:eastAsia="仿宋_GB2312" w:cs="仿宋_GB2312"/>
          <w:bCs/>
          <w:sz w:val="32"/>
          <w:szCs w:val="32"/>
        </w:rPr>
        <w:t>二是</w:t>
      </w:r>
      <w:r>
        <w:rPr>
          <w:rFonts w:hint="eastAsia" w:ascii="仿宋_GB2312" w:eastAsia="仿宋_GB2312" w:cs="仿宋_GB2312"/>
          <w:sz w:val="32"/>
          <w:szCs w:val="32"/>
        </w:rPr>
        <w:t>建立日常环境卫生和消毒管理监督制度，每周开展查漏洞补短板大排查，每两日进行一次全面彻底环境卫生清理，并严格落实消毒措施。</w:t>
      </w:r>
      <w:r>
        <w:rPr>
          <w:rFonts w:hint="eastAsia" w:ascii="仿宋_GB2312" w:eastAsia="仿宋_GB2312" w:cs="仿宋_GB2312"/>
          <w:bCs/>
          <w:sz w:val="32"/>
          <w:szCs w:val="32"/>
        </w:rPr>
        <w:t>三是</w:t>
      </w:r>
      <w:r>
        <w:rPr>
          <w:rFonts w:hint="eastAsia" w:ascii="仿宋_GB2312" w:eastAsia="仿宋_GB2312" w:cs="仿宋_GB2312"/>
          <w:color w:val="000000"/>
          <w:sz w:val="32"/>
          <w:szCs w:val="32"/>
        </w:rPr>
        <w:t>全面掌握中心在编、退休人员和市城区农贸市场从业人员的疫苗接种情况，建立</w:t>
      </w:r>
      <w:r>
        <w:rPr>
          <w:rFonts w:hint="eastAsia" w:ascii="仿宋_GB2312" w:eastAsia="仿宋_GB2312" w:cs="仿宋_GB2312"/>
          <w:sz w:val="32"/>
          <w:szCs w:val="32"/>
        </w:rPr>
        <w:t>疫情防控</w:t>
      </w:r>
      <w:r>
        <w:rPr>
          <w:rFonts w:hint="eastAsia" w:ascii="仿宋_GB2312" w:eastAsia="仿宋_GB2312" w:cs="仿宋_GB2312"/>
          <w:color w:val="000000"/>
          <w:sz w:val="32"/>
          <w:szCs w:val="32"/>
        </w:rPr>
        <w:t>工作台账，“应接尽接、能接尽接”，单位接种率100%，全程接种率98%，农贸市场从业人员接种率96.4%。</w:t>
      </w:r>
      <w:r>
        <w:rPr>
          <w:rFonts w:hint="eastAsia" w:ascii="仿宋_GB2312" w:eastAsia="仿宋_GB2312" w:cs="仿宋_GB2312"/>
          <w:sz w:val="32"/>
          <w:szCs w:val="32"/>
        </w:rPr>
        <w:t>6月份组织中心职工、下湄桥市场从业人员共计327人开展了核酸检测，检测结果均为阴性，建立了免疫屏障。认真做好农贸市场疫情防控检查、消杀消毒及冷链食品的管理台帐。四是克服厌战情绪和侥幸心理，督促市场管理人员坚持做好24小时值班值守，在市场出入口严格落实“扫健康码、行程码、测体温、戴口罩”等要求，严格按标准做好疫情防控，坚决阻断疫情传播的风险。</w:t>
      </w:r>
      <w:r>
        <w:rPr>
          <w:rFonts w:hint="eastAsia" w:ascii="仿宋_GB2312" w:eastAsia="仿宋_GB2312"/>
          <w:sz w:val="32"/>
          <w:szCs w:val="32"/>
        </w:rPr>
        <w:t>五是在南京</w:t>
      </w:r>
      <w:r>
        <w:rPr>
          <w:rFonts w:hint="eastAsia" w:ascii="仿宋_GB2312" w:eastAsia="仿宋" w:cs="微软雅黑"/>
          <w:sz w:val="32"/>
          <w:szCs w:val="32"/>
        </w:rPr>
        <w:t>䘵</w:t>
      </w:r>
      <w:r>
        <w:rPr>
          <w:rFonts w:hint="eastAsia" w:ascii="仿宋_GB2312" w:eastAsia="仿宋_GB2312" w:cs="微软雅黑"/>
          <w:sz w:val="32"/>
          <w:szCs w:val="32"/>
        </w:rPr>
        <w:t>口机场新冠疫情外溢到我省，疫情形势严峻的形势下，中心克服</w:t>
      </w:r>
      <w:r>
        <w:rPr>
          <w:rFonts w:hint="eastAsia" w:ascii="仿宋_GB2312" w:eastAsia="仿宋_GB2312"/>
          <w:sz w:val="32"/>
          <w:szCs w:val="32"/>
        </w:rPr>
        <w:t>自身任务繁重，人员力量紧张，防疫物资短缺、财力不足的困难，向联点包干北湖路社区捐赠了口罩、酒精、测温仪、一次性医用手套等，解决了社区防控物资紧缺的燃眉之急。并安排人员到小区值守，全面筑牢了北湖路社区的疫情联控防线。</w:t>
      </w:r>
    </w:p>
    <w:p>
      <w:pPr>
        <w:pStyle w:val="10"/>
        <w:spacing w:line="560" w:lineRule="exact"/>
        <w:ind w:firstLine="640"/>
        <w:jc w:val="left"/>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、存在的问题及原因分析</w:t>
      </w:r>
    </w:p>
    <w:p>
      <w:pPr>
        <w:spacing w:line="560" w:lineRule="exact"/>
        <w:ind w:firstLine="640" w:firstLineChars="200"/>
        <w:jc w:val="left"/>
        <w:rPr>
          <w:rFonts w:ascii="楷体_GB2312" w:eastAsia="楷体_GB2312"/>
          <w:b/>
          <w:sz w:val="32"/>
          <w:szCs w:val="32"/>
        </w:rPr>
      </w:pPr>
      <w:r>
        <w:rPr>
          <w:rFonts w:hint="eastAsia" w:ascii="楷体_GB2312" w:eastAsia="楷体_GB2312"/>
          <w:b/>
          <w:sz w:val="32"/>
          <w:szCs w:val="32"/>
        </w:rPr>
        <w:fldChar w:fldCharType="begin"/>
      </w:r>
      <w:r>
        <w:rPr>
          <w:rFonts w:hint="eastAsia" w:ascii="楷体_GB2312" w:eastAsia="楷体_GB2312"/>
          <w:b/>
          <w:sz w:val="32"/>
          <w:szCs w:val="32"/>
        </w:rPr>
        <w:instrText xml:space="preserve"> = 1 \* GB4 </w:instrText>
      </w:r>
      <w:r>
        <w:rPr>
          <w:rFonts w:hint="eastAsia" w:ascii="楷体_GB2312" w:eastAsia="楷体_GB2312"/>
          <w:b/>
          <w:sz w:val="32"/>
          <w:szCs w:val="32"/>
        </w:rPr>
        <w:fldChar w:fldCharType="separate"/>
      </w:r>
      <w:r>
        <w:rPr>
          <w:rFonts w:hint="eastAsia" w:ascii="楷体_GB2312" w:eastAsia="楷体_GB2312"/>
          <w:b/>
          <w:sz w:val="32"/>
          <w:szCs w:val="32"/>
        </w:rPr>
        <w:t>㈠</w:t>
      </w:r>
      <w:r>
        <w:rPr>
          <w:rFonts w:hint="eastAsia" w:ascii="楷体_GB2312" w:eastAsia="楷体_GB2312"/>
          <w:b/>
          <w:sz w:val="32"/>
          <w:szCs w:val="32"/>
        </w:rPr>
        <w:fldChar w:fldCharType="end"/>
      </w:r>
      <w:r>
        <w:rPr>
          <w:rFonts w:hint="eastAsia" w:ascii="楷体_GB2312" w:eastAsia="楷体_GB2312"/>
          <w:b/>
          <w:sz w:val="32"/>
          <w:szCs w:val="32"/>
        </w:rPr>
        <w:t>年初收入预算中未列入纳入专户管理的非税收入拨款</w:t>
      </w:r>
    </w:p>
    <w:p>
      <w:pPr>
        <w:spacing w:line="560" w:lineRule="exact"/>
        <w:ind w:firstLine="640" w:firstLineChars="200"/>
        <w:jc w:val="left"/>
        <w:rPr>
          <w:rFonts w:ascii="楷体_GB2312" w:eastAsia="楷体_GB2312"/>
          <w:b/>
          <w:sz w:val="32"/>
          <w:szCs w:val="32"/>
        </w:rPr>
      </w:pPr>
      <w:r>
        <w:rPr>
          <w:rFonts w:hint="eastAsia" w:ascii="楷体_GB2312" w:eastAsia="楷体_GB2312"/>
          <w:b/>
          <w:sz w:val="32"/>
          <w:szCs w:val="32"/>
        </w:rPr>
        <w:fldChar w:fldCharType="begin"/>
      </w:r>
      <w:r>
        <w:rPr>
          <w:rFonts w:hint="eastAsia" w:ascii="楷体_GB2312" w:eastAsia="楷体_GB2312"/>
          <w:b/>
          <w:sz w:val="32"/>
          <w:szCs w:val="32"/>
        </w:rPr>
        <w:instrText xml:space="preserve"> = 2 \* GB4 </w:instrText>
      </w:r>
      <w:r>
        <w:rPr>
          <w:rFonts w:hint="eastAsia" w:ascii="楷体_GB2312" w:eastAsia="楷体_GB2312"/>
          <w:b/>
          <w:sz w:val="32"/>
          <w:szCs w:val="32"/>
        </w:rPr>
        <w:fldChar w:fldCharType="separate"/>
      </w:r>
      <w:r>
        <w:rPr>
          <w:rFonts w:hint="eastAsia" w:ascii="楷体_GB2312" w:eastAsia="楷体_GB2312"/>
          <w:b/>
          <w:sz w:val="32"/>
          <w:szCs w:val="32"/>
        </w:rPr>
        <w:t>㈡</w:t>
      </w:r>
      <w:r>
        <w:rPr>
          <w:rFonts w:hint="eastAsia" w:ascii="楷体_GB2312" w:eastAsia="楷体_GB2312"/>
          <w:b/>
          <w:sz w:val="32"/>
          <w:szCs w:val="32"/>
        </w:rPr>
        <w:fldChar w:fldCharType="end"/>
      </w:r>
      <w:r>
        <w:rPr>
          <w:rFonts w:hint="eastAsia" w:ascii="楷体_GB2312" w:eastAsia="楷体_GB2312"/>
          <w:b/>
          <w:sz w:val="32"/>
          <w:szCs w:val="32"/>
        </w:rPr>
        <w:t>年初支出预算中未列入项目支出</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因单位正处在转型过渡期，非税收入和项目支出不确定因素较多，财政部门建议只将基本支出列入预算，项目支出按实际工作需要追加。</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、下一步改进措施</w:t>
      </w:r>
    </w:p>
    <w:p>
      <w:pPr>
        <w:spacing w:line="560" w:lineRule="exact"/>
        <w:ind w:firstLine="640" w:firstLineChars="200"/>
        <w:rPr>
          <w:rFonts w:ascii="楷体_GB2312" w:eastAsia="楷体_GB2312" w:cs="仿宋"/>
          <w:b/>
          <w:bCs/>
          <w:sz w:val="32"/>
          <w:szCs w:val="32"/>
        </w:rPr>
      </w:pPr>
      <w:r>
        <w:rPr>
          <w:rFonts w:hint="eastAsia" w:ascii="楷体_GB2312" w:eastAsia="楷体_GB2312" w:cs="仿宋"/>
          <w:b/>
          <w:bCs/>
          <w:sz w:val="32"/>
          <w:szCs w:val="32"/>
        </w:rPr>
        <w:fldChar w:fldCharType="begin"/>
      </w:r>
      <w:r>
        <w:rPr>
          <w:rFonts w:hint="eastAsia" w:ascii="楷体_GB2312" w:eastAsia="楷体_GB2312" w:cs="仿宋"/>
          <w:b/>
          <w:bCs/>
          <w:sz w:val="32"/>
          <w:szCs w:val="32"/>
        </w:rPr>
        <w:instrText xml:space="preserve"> = 1 \* GB4 </w:instrText>
      </w:r>
      <w:r>
        <w:rPr>
          <w:rFonts w:hint="eastAsia" w:ascii="楷体_GB2312" w:eastAsia="楷体_GB2312" w:cs="仿宋"/>
          <w:b/>
          <w:bCs/>
          <w:sz w:val="32"/>
          <w:szCs w:val="32"/>
        </w:rPr>
        <w:fldChar w:fldCharType="separate"/>
      </w:r>
      <w:r>
        <w:rPr>
          <w:rFonts w:hint="eastAsia" w:ascii="楷体_GB2312" w:eastAsia="楷体_GB2312" w:cs="仿宋"/>
          <w:b/>
          <w:bCs/>
          <w:sz w:val="32"/>
          <w:szCs w:val="32"/>
        </w:rPr>
        <w:t>㈠</w:t>
      </w:r>
      <w:r>
        <w:rPr>
          <w:rFonts w:hint="eastAsia" w:ascii="楷体_GB2312" w:eastAsia="楷体_GB2312" w:cs="仿宋"/>
          <w:b/>
          <w:bCs/>
          <w:sz w:val="32"/>
          <w:szCs w:val="32"/>
        </w:rPr>
        <w:fldChar w:fldCharType="end"/>
      </w:r>
      <w:r>
        <w:rPr>
          <w:rFonts w:hint="eastAsia" w:ascii="楷体_GB2312" w:eastAsia="楷体_GB2312" w:cs="仿宋"/>
          <w:b/>
          <w:bCs/>
          <w:sz w:val="32"/>
          <w:szCs w:val="32"/>
        </w:rPr>
        <w:t>全面编制预算</w:t>
      </w:r>
    </w:p>
    <w:p>
      <w:pPr>
        <w:spacing w:line="560" w:lineRule="exact"/>
        <w:ind w:firstLine="640" w:firstLineChars="200"/>
        <w:rPr>
          <w:rFonts w:hint="eastAsia" w:ascii="楷体_GB2312" w:eastAsia="楷体_GB2312" w:cs="仿宋"/>
          <w:b/>
          <w:bCs/>
          <w:sz w:val="32"/>
          <w:szCs w:val="32"/>
        </w:rPr>
      </w:pPr>
      <w:r>
        <w:rPr>
          <w:rFonts w:hint="eastAsia" w:ascii="楷体_GB2312" w:eastAsia="楷体_GB2312" w:cs="仿宋"/>
          <w:b/>
          <w:bCs/>
          <w:sz w:val="32"/>
          <w:szCs w:val="32"/>
        </w:rPr>
        <w:fldChar w:fldCharType="begin"/>
      </w:r>
      <w:r>
        <w:rPr>
          <w:rFonts w:hint="eastAsia" w:ascii="楷体_GB2312" w:eastAsia="楷体_GB2312" w:cs="仿宋"/>
          <w:b/>
          <w:bCs/>
          <w:sz w:val="32"/>
          <w:szCs w:val="32"/>
        </w:rPr>
        <w:instrText xml:space="preserve"> = 2 \* GB4 </w:instrText>
      </w:r>
      <w:r>
        <w:rPr>
          <w:rFonts w:hint="eastAsia" w:ascii="楷体_GB2312" w:eastAsia="楷体_GB2312" w:cs="仿宋"/>
          <w:b/>
          <w:bCs/>
          <w:sz w:val="32"/>
          <w:szCs w:val="32"/>
        </w:rPr>
        <w:fldChar w:fldCharType="separate"/>
      </w:r>
      <w:r>
        <w:rPr>
          <w:rFonts w:hint="eastAsia" w:ascii="楷体_GB2312" w:eastAsia="楷体_GB2312" w:cs="仿宋"/>
          <w:b/>
          <w:bCs/>
          <w:sz w:val="32"/>
          <w:szCs w:val="32"/>
        </w:rPr>
        <w:t>㈡</w:t>
      </w:r>
      <w:r>
        <w:rPr>
          <w:rFonts w:hint="eastAsia" w:ascii="楷体_GB2312" w:eastAsia="楷体_GB2312" w:cs="仿宋"/>
          <w:b/>
          <w:bCs/>
          <w:sz w:val="32"/>
          <w:szCs w:val="32"/>
        </w:rPr>
        <w:fldChar w:fldCharType="end"/>
      </w:r>
      <w:r>
        <w:rPr>
          <w:rFonts w:hint="eastAsia" w:ascii="楷体_GB2312" w:eastAsia="楷体_GB2312" w:cs="仿宋"/>
          <w:b/>
          <w:bCs/>
          <w:sz w:val="32"/>
          <w:szCs w:val="32"/>
        </w:rPr>
        <w:t>严格执行预算，确保完成绩效目标</w:t>
      </w:r>
    </w:p>
    <w:p>
      <w:pPr>
        <w:spacing w:line="560" w:lineRule="exact"/>
        <w:ind w:firstLine="640" w:firstLineChars="200"/>
        <w:jc w:val="left"/>
        <w:rPr>
          <w:rFonts w:ascii="楷体_GB2312" w:eastAsia="楷体_GB2312" w:cs="仿宋"/>
          <w:b/>
          <w:bCs/>
          <w:sz w:val="32"/>
          <w:szCs w:val="32"/>
        </w:rPr>
      </w:pPr>
      <w:r>
        <w:rPr>
          <w:rFonts w:hint="eastAsia" w:ascii="楷体_GB2312" w:eastAsia="楷体_GB2312" w:cs="仿宋"/>
          <w:b/>
          <w:bCs/>
          <w:sz w:val="32"/>
          <w:szCs w:val="32"/>
        </w:rPr>
        <w:fldChar w:fldCharType="begin"/>
      </w:r>
      <w:r>
        <w:rPr>
          <w:rFonts w:hint="eastAsia" w:ascii="楷体_GB2312" w:eastAsia="楷体_GB2312" w:cs="仿宋"/>
          <w:b/>
          <w:bCs/>
          <w:sz w:val="32"/>
          <w:szCs w:val="32"/>
        </w:rPr>
        <w:instrText xml:space="preserve"> = 3 \* GB4 </w:instrText>
      </w:r>
      <w:r>
        <w:rPr>
          <w:rFonts w:hint="eastAsia" w:ascii="楷体_GB2312" w:eastAsia="楷体_GB2312" w:cs="仿宋"/>
          <w:b/>
          <w:bCs/>
          <w:sz w:val="32"/>
          <w:szCs w:val="32"/>
        </w:rPr>
        <w:fldChar w:fldCharType="separate"/>
      </w:r>
      <w:r>
        <w:rPr>
          <w:rFonts w:hint="eastAsia" w:ascii="楷体_GB2312" w:eastAsia="楷体_GB2312" w:cs="仿宋"/>
          <w:b/>
          <w:bCs/>
          <w:sz w:val="32"/>
          <w:szCs w:val="32"/>
        </w:rPr>
        <w:t>㈢</w:t>
      </w:r>
      <w:r>
        <w:rPr>
          <w:rFonts w:hint="eastAsia" w:ascii="楷体_GB2312" w:eastAsia="楷体_GB2312" w:cs="仿宋"/>
          <w:b/>
          <w:bCs/>
          <w:sz w:val="32"/>
          <w:szCs w:val="32"/>
        </w:rPr>
        <w:fldChar w:fldCharType="end"/>
      </w:r>
      <w:r>
        <w:rPr>
          <w:rFonts w:hint="eastAsia" w:ascii="楷体_GB2312" w:eastAsia="楷体_GB2312" w:cs="仿宋"/>
          <w:b/>
          <w:bCs/>
          <w:sz w:val="32"/>
          <w:szCs w:val="32"/>
        </w:rPr>
        <w:t>继续稳妥处置搬迁市场遗留问题和资产划转工作</w:t>
      </w:r>
    </w:p>
    <w:p>
      <w:pPr>
        <w:spacing w:line="560" w:lineRule="exact"/>
        <w:ind w:firstLine="640" w:firstLineChars="200"/>
        <w:jc w:val="left"/>
        <w:rPr>
          <w:rFonts w:ascii="楷体_GB2312" w:eastAsia="楷体_GB2312"/>
          <w:b/>
          <w:sz w:val="32"/>
          <w:szCs w:val="32"/>
        </w:rPr>
      </w:pPr>
      <w:r>
        <w:rPr>
          <w:rFonts w:hint="eastAsia" w:ascii="楷体_GB2312" w:eastAsia="楷体_GB2312" w:cs="仿宋"/>
          <w:b/>
          <w:bCs/>
          <w:sz w:val="32"/>
          <w:szCs w:val="32"/>
        </w:rPr>
        <w:fldChar w:fldCharType="begin"/>
      </w:r>
      <w:r>
        <w:rPr>
          <w:rFonts w:hint="eastAsia" w:ascii="楷体_GB2312" w:eastAsia="楷体_GB2312" w:cs="仿宋"/>
          <w:b/>
          <w:bCs/>
          <w:sz w:val="32"/>
          <w:szCs w:val="32"/>
        </w:rPr>
        <w:instrText xml:space="preserve"> = 4 \* GB4 </w:instrText>
      </w:r>
      <w:r>
        <w:rPr>
          <w:rFonts w:hint="eastAsia" w:ascii="楷体_GB2312" w:eastAsia="楷体_GB2312" w:cs="仿宋"/>
          <w:b/>
          <w:bCs/>
          <w:sz w:val="32"/>
          <w:szCs w:val="32"/>
        </w:rPr>
        <w:fldChar w:fldCharType="separate"/>
      </w:r>
      <w:r>
        <w:rPr>
          <w:rFonts w:hint="eastAsia" w:ascii="楷体_GB2312" w:eastAsia="楷体_GB2312" w:cs="仿宋"/>
          <w:b/>
          <w:bCs/>
          <w:sz w:val="32"/>
          <w:szCs w:val="32"/>
        </w:rPr>
        <w:t>㈣</w:t>
      </w:r>
      <w:r>
        <w:rPr>
          <w:rFonts w:hint="eastAsia" w:ascii="楷体_GB2312" w:eastAsia="楷体_GB2312" w:cs="仿宋"/>
          <w:b/>
          <w:bCs/>
          <w:sz w:val="32"/>
          <w:szCs w:val="32"/>
        </w:rPr>
        <w:fldChar w:fldCharType="end"/>
      </w:r>
      <w:r>
        <w:rPr>
          <w:rFonts w:hint="eastAsia" w:ascii="楷体_GB2312" w:eastAsia="楷体_GB2312" w:cs="仿宋"/>
          <w:b/>
          <w:bCs/>
          <w:sz w:val="32"/>
          <w:szCs w:val="32"/>
        </w:rPr>
        <w:t>继续推进单位的转型转隶工作，争取早日确定新的职责职能</w:t>
      </w:r>
    </w:p>
    <w:p>
      <w:pPr>
        <w:spacing w:line="560" w:lineRule="exact"/>
        <w:ind w:firstLine="645"/>
        <w:jc w:val="left"/>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、部门整体支出绩效自评结果拟应用和公开情况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按要求，公开本绩效自评报告，接受社会监督。同时，将本次评价中发现的问题及时反馈各部门，作为我单位加强预算管理、绩效管理和安排下年度预算的重要依据。</w:t>
      </w:r>
    </w:p>
    <w:p>
      <w:pPr>
        <w:numPr>
          <w:ilvl w:val="0"/>
          <w:numId w:val="5"/>
        </w:numPr>
        <w:spacing w:line="560" w:lineRule="exact"/>
        <w:ind w:firstLine="645"/>
        <w:jc w:val="left"/>
        <w:rPr>
          <w:rFonts w:ascii="黑体" w:hAnsi="黑体" w:eastAsia="黑体"/>
          <w:sz w:val="32"/>
          <w:szCs w:val="32"/>
        </w:rPr>
      </w:pPr>
      <w:r>
        <w:rPr>
          <w:rFonts w:hint="eastAsia" w:ascii="黑体" w:hAnsi="黑体" w:eastAsia="黑体"/>
          <w:sz w:val="32"/>
          <w:szCs w:val="32"/>
        </w:rPr>
        <w:t>其他需要说明的情况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numPr>
          <w:ilvl w:val="0"/>
          <w:numId w:val="5"/>
        </w:numPr>
        <w:spacing w:line="560" w:lineRule="exact"/>
        <w:ind w:firstLine="645"/>
        <w:jc w:val="left"/>
        <w:rPr>
          <w:rFonts w:ascii="黑体" w:hAnsi="黑体" w:eastAsia="黑体"/>
          <w:sz w:val="32"/>
          <w:szCs w:val="32"/>
        </w:rPr>
      </w:pPr>
      <w:r>
        <w:rPr>
          <w:rFonts w:hint="eastAsia" w:ascii="黑体" w:hAnsi="黑体" w:eastAsia="黑体"/>
          <w:sz w:val="32"/>
          <w:szCs w:val="32"/>
        </w:rPr>
        <w:t>附件</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Style w:val="15"/>
          <w:rFonts w:eastAsia="黑体"/>
        </w:rPr>
      </w:pPr>
      <w:r>
        <w:rPr>
          <w:rFonts w:hint="eastAsia" w:ascii="黑体" w:hAnsi="宋体" w:eastAsia="黑体" w:cs="黑体"/>
          <w:color w:val="000000"/>
          <w:sz w:val="32"/>
          <w:szCs w:val="32"/>
        </w:rPr>
        <w:t>附件</w:t>
      </w:r>
      <w:r>
        <w:rPr>
          <w:rStyle w:val="15"/>
          <w:rFonts w:eastAsia="黑体"/>
        </w:rPr>
        <w:t>2</w:t>
      </w: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color w:val="000000"/>
          <w:sz w:val="32"/>
          <w:szCs w:val="32"/>
        </w:rPr>
        <w:t>2021年度部门整体支出绩效评价基础数据表</w:t>
      </w:r>
    </w:p>
    <w:tbl>
      <w:tblPr>
        <w:tblStyle w:val="5"/>
        <w:tblpPr w:leftFromText="180" w:rightFromText="180" w:vertAnchor="text" w:horzAnchor="page" w:tblpX="1095" w:tblpY="258"/>
        <w:tblOverlap w:val="never"/>
        <w:tblW w:w="10488" w:type="dxa"/>
        <w:tblInd w:w="0" w:type="dxa"/>
        <w:tblLayout w:type="fixed"/>
        <w:tblCellMar>
          <w:top w:w="0" w:type="dxa"/>
          <w:left w:w="108" w:type="dxa"/>
          <w:bottom w:w="0" w:type="dxa"/>
          <w:right w:w="108" w:type="dxa"/>
        </w:tblCellMar>
      </w:tblPr>
      <w:tblGrid>
        <w:gridCol w:w="5072"/>
        <w:gridCol w:w="983"/>
        <w:gridCol w:w="917"/>
        <w:gridCol w:w="750"/>
        <w:gridCol w:w="816"/>
        <w:gridCol w:w="903"/>
        <w:gridCol w:w="1047"/>
      </w:tblGrid>
      <w:tr>
        <w:tblPrEx>
          <w:tblCellMar>
            <w:top w:w="0" w:type="dxa"/>
            <w:left w:w="108" w:type="dxa"/>
            <w:bottom w:w="0" w:type="dxa"/>
            <w:right w:w="108" w:type="dxa"/>
          </w:tblCellMar>
        </w:tblPrEx>
        <w:trPr>
          <w:trHeight w:val="480" w:hRule="atLeast"/>
        </w:trPr>
        <w:tc>
          <w:tcPr>
            <w:tcW w:w="5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财政供养人员情况（人）</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编制数</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2021年实际在职人数</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控制率</w:t>
            </w:r>
          </w:p>
        </w:tc>
      </w:tr>
      <w:tr>
        <w:tblPrEx>
          <w:tblCellMar>
            <w:top w:w="0" w:type="dxa"/>
            <w:left w:w="108" w:type="dxa"/>
            <w:bottom w:w="0" w:type="dxa"/>
            <w:right w:w="108" w:type="dxa"/>
          </w:tblCellMar>
        </w:tblPrEx>
        <w:trPr>
          <w:trHeight w:val="402" w:hRule="atLeast"/>
        </w:trPr>
        <w:tc>
          <w:tcPr>
            <w:tcW w:w="5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104</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102</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98.08%</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经费控制情况（万元）</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2020年决算数</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2021年预算数</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sz w:val="20"/>
                <w:szCs w:val="20"/>
              </w:rPr>
              <w:t>2021年决算数</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一、部门基本支出</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1,703.93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1,570.99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2,126.94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其中：公用经费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764.93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168.72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205.79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其中：办公经费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370.55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93.72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96.30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水费、电费、差旅费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12.86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11.00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7.98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会议费、培训费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0.41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5.00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2.18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三公经费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1.08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5.80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1.63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left"/>
              <w:textAlignment w:val="center"/>
              <w:rPr>
                <w:rFonts w:ascii="宋体" w:hAnsi="宋体" w:cs="宋体"/>
                <w:color w:val="000000"/>
                <w:sz w:val="20"/>
                <w:szCs w:val="20"/>
              </w:rPr>
            </w:pPr>
            <w:r>
              <w:rPr>
                <w:rFonts w:hint="eastAsia" w:ascii="宋体" w:hAnsi="宋体" w:cs="宋体"/>
                <w:color w:val="000000"/>
                <w:sz w:val="20"/>
                <w:szCs w:val="20"/>
              </w:rPr>
              <w:t>1、公务用车购置和维护经费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0.88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4.00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1.43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其中：公务用车车购置</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公务用车运行维护</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0.88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4.00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1.43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2、出国经费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3、公务接待</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0.20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1.80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0.20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二、部门项目支出</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1,062.87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503.04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1、业务工作经费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预拨北湖市场（一期）转型升级后续资金</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213.49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七星大市场钢架结构雨棚拆除费用</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29.10 </w:t>
            </w:r>
          </w:p>
        </w:tc>
      </w:tr>
      <w:tr>
        <w:tblPrEx>
          <w:tblCellMar>
            <w:top w:w="0" w:type="dxa"/>
            <w:left w:w="108" w:type="dxa"/>
            <w:bottom w:w="0" w:type="dxa"/>
            <w:right w:w="108" w:type="dxa"/>
          </w:tblCellMar>
        </w:tblPrEx>
        <w:trPr>
          <w:trHeight w:val="495"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市中心城区农产品批发市场搬迁资金（预备费）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72.68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00" w:firstLineChars="50"/>
              <w:jc w:val="left"/>
              <w:textAlignment w:val="center"/>
              <w:rPr>
                <w:rFonts w:ascii="宋体" w:hAnsi="宋体" w:cs="宋体"/>
                <w:color w:val="000000"/>
                <w:sz w:val="20"/>
                <w:szCs w:val="20"/>
              </w:rPr>
            </w:pPr>
            <w:r>
              <w:rPr>
                <w:rFonts w:hint="eastAsia" w:ascii="宋体" w:hAnsi="宋体" w:cs="宋体"/>
                <w:color w:val="000000"/>
                <w:sz w:val="20"/>
                <w:szCs w:val="20"/>
              </w:rPr>
              <w:t>2、运行维护经费</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00" w:firstLineChars="50"/>
              <w:jc w:val="left"/>
              <w:textAlignment w:val="center"/>
              <w:rPr>
                <w:rFonts w:ascii="宋体" w:hAnsi="宋体" w:cs="宋体"/>
                <w:color w:val="000000"/>
                <w:sz w:val="20"/>
                <w:szCs w:val="20"/>
              </w:rPr>
            </w:pPr>
            <w:r>
              <w:rPr>
                <w:rFonts w:hint="eastAsia" w:ascii="宋体" w:hAnsi="宋体" w:cs="宋体"/>
                <w:color w:val="000000"/>
                <w:sz w:val="20"/>
                <w:szCs w:val="20"/>
              </w:rPr>
              <w:t>3、市级专项资金</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政府采购金额</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部门基本支出预算调整 </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2,126.94 </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 xml:space="preserve"> 2,126.94 </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楼堂馆所控制情况</w:t>
            </w:r>
          </w:p>
        </w:tc>
        <w:tc>
          <w:tcPr>
            <w:tcW w:w="98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批复</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规模</w:t>
            </w:r>
          </w:p>
        </w:tc>
        <w:tc>
          <w:tcPr>
            <w:tcW w:w="917" w:type="dxa"/>
            <w:vMerge w:val="restar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实际 规模（㎡）</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规模     控制率</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预算投资 （万元）</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实际投资（万元）</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投资概算控制率</w:t>
            </w: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（2021年完工项目）</w:t>
            </w:r>
          </w:p>
        </w:tc>
        <w:tc>
          <w:tcPr>
            <w:tcW w:w="98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w:t>
            </w:r>
          </w:p>
        </w:tc>
        <w:tc>
          <w:tcPr>
            <w:tcW w:w="917"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402" w:hRule="atLeast"/>
        </w:trPr>
        <w:tc>
          <w:tcPr>
            <w:tcW w:w="5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厉行节约保障措施</w:t>
            </w:r>
          </w:p>
        </w:tc>
        <w:tc>
          <w:tcPr>
            <w:tcW w:w="54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Pr>
        <w:spacing w:line="560" w:lineRule="exact"/>
        <w:rPr>
          <w:rFonts w:ascii="宋体" w:hAnsi="宋体" w:cs="宋体"/>
          <w:color w:val="000000"/>
          <w:spacing w:val="-11"/>
          <w:sz w:val="20"/>
          <w:szCs w:val="20"/>
        </w:rPr>
      </w:pPr>
      <w:r>
        <w:rPr>
          <w:rFonts w:hint="eastAsia" w:ascii="宋体" w:hAnsi="宋体" w:cs="宋体"/>
          <w:color w:val="000000"/>
          <w:spacing w:val="-11"/>
          <w:sz w:val="18"/>
          <w:szCs w:val="18"/>
        </w:rPr>
        <w:t>说明：“项目支出”需要填报基本支出以外的所有项目支出情况，“公用经费”填报基本支出中的一般商品和服务支出。</w:t>
      </w:r>
    </w:p>
    <w:p>
      <w:pPr>
        <w:jc w:val="both"/>
        <w:rPr>
          <w:rStyle w:val="15"/>
          <w:rFonts w:hint="eastAsia" w:eastAsia="黑体"/>
          <w:sz w:val="21"/>
          <w:szCs w:val="21"/>
        </w:rPr>
      </w:pPr>
      <w:bookmarkStart w:id="5" w:name="_GoBack"/>
      <w:bookmarkEnd w:id="5"/>
      <w:r>
        <w:rPr>
          <w:rFonts w:hint="eastAsia" w:ascii="黑体" w:hAnsi="宋体" w:eastAsia="黑体" w:cs="黑体"/>
          <w:color w:val="000000"/>
          <w:sz w:val="32"/>
          <w:szCs w:val="32"/>
        </w:rPr>
        <w:t>附件</w:t>
      </w:r>
      <w:r>
        <w:rPr>
          <w:rStyle w:val="15"/>
          <w:rFonts w:eastAsia="黑体"/>
        </w:rPr>
        <w:t>3</w:t>
      </w:r>
      <w:r>
        <w:rPr>
          <w:rStyle w:val="15"/>
          <w:rFonts w:hint="eastAsia" w:eastAsia="黑体"/>
        </w:rPr>
        <w:t xml:space="preserve">     </w:t>
      </w:r>
    </w:p>
    <w:p>
      <w:pPr>
        <w:jc w:val="center"/>
        <w:rPr>
          <w:rFonts w:ascii="宋体" w:hAnsi="宋体" w:cs="宋体"/>
          <w:color w:val="000000"/>
          <w:sz w:val="32"/>
          <w:szCs w:val="32"/>
        </w:rPr>
      </w:pPr>
      <w:r>
        <w:rPr>
          <w:rFonts w:hint="eastAsia" w:ascii="方正小标宋简体" w:hAnsi="方正小标宋简体" w:eastAsia="方正小标宋简体" w:cs="方正小标宋简体"/>
          <w:color w:val="000000"/>
          <w:sz w:val="32"/>
          <w:szCs w:val="32"/>
        </w:rPr>
        <w:t>2021年度部门整体支出绩效自评表</w:t>
      </w:r>
    </w:p>
    <w:tbl>
      <w:tblPr>
        <w:tblStyle w:val="5"/>
        <w:tblpPr w:leftFromText="180" w:rightFromText="180" w:vertAnchor="text" w:horzAnchor="page" w:tblpX="900" w:tblpY="508"/>
        <w:tblOverlap w:val="never"/>
        <w:tblW w:w="10437" w:type="dxa"/>
        <w:tblInd w:w="0" w:type="dxa"/>
        <w:tblLayout w:type="fixed"/>
        <w:tblCellMar>
          <w:top w:w="0" w:type="dxa"/>
          <w:left w:w="108" w:type="dxa"/>
          <w:bottom w:w="0" w:type="dxa"/>
          <w:right w:w="108" w:type="dxa"/>
        </w:tblCellMar>
      </w:tblPr>
      <w:tblGrid>
        <w:gridCol w:w="1083"/>
        <w:gridCol w:w="849"/>
        <w:gridCol w:w="717"/>
        <w:gridCol w:w="1733"/>
        <w:gridCol w:w="988"/>
        <w:gridCol w:w="995"/>
        <w:gridCol w:w="526"/>
        <w:gridCol w:w="1077"/>
        <w:gridCol w:w="2469"/>
      </w:tblGrid>
      <w:tr>
        <w:tblPrEx>
          <w:tblCellMar>
            <w:top w:w="0" w:type="dxa"/>
            <w:left w:w="108" w:type="dxa"/>
            <w:bottom w:w="0" w:type="dxa"/>
            <w:right w:w="108" w:type="dxa"/>
          </w:tblCellMar>
        </w:tblPrEx>
        <w:trPr>
          <w:trHeight w:val="604" w:hRule="atLeast"/>
        </w:trPr>
        <w:tc>
          <w:tcPr>
            <w:tcW w:w="10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市级预算部门名称</w:t>
            </w:r>
          </w:p>
        </w:tc>
        <w:tc>
          <w:tcPr>
            <w:tcW w:w="9354"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郴州市市场服务中心</w:t>
            </w:r>
          </w:p>
        </w:tc>
      </w:tr>
      <w:tr>
        <w:tblPrEx>
          <w:tblCellMar>
            <w:top w:w="0" w:type="dxa"/>
            <w:left w:w="108" w:type="dxa"/>
            <w:bottom w:w="0" w:type="dxa"/>
            <w:right w:w="108" w:type="dxa"/>
          </w:tblCellMar>
        </w:tblPrEx>
        <w:trPr>
          <w:trHeight w:val="240" w:hRule="atLeast"/>
        </w:trPr>
        <w:tc>
          <w:tcPr>
            <w:tcW w:w="10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年度预算申请  （万元）</w:t>
            </w:r>
          </w:p>
        </w:tc>
        <w:tc>
          <w:tcPr>
            <w:tcW w:w="1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年初预算数</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全年预算数</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全年执行数</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分值</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执行率</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得分</w:t>
            </w:r>
          </w:p>
        </w:tc>
      </w:tr>
      <w:tr>
        <w:tblPrEx>
          <w:tblCellMar>
            <w:top w:w="0" w:type="dxa"/>
            <w:left w:w="108" w:type="dxa"/>
            <w:bottom w:w="0" w:type="dxa"/>
            <w:right w:w="108" w:type="dxa"/>
          </w:tblCellMar>
        </w:tblPrEx>
        <w:trPr>
          <w:trHeight w:val="24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年度资金总额</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1570.99</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2407.87</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2629.98</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109.22%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10</w:t>
            </w:r>
          </w:p>
        </w:tc>
      </w:tr>
      <w:tr>
        <w:tblPrEx>
          <w:tblCellMar>
            <w:top w:w="0" w:type="dxa"/>
            <w:left w:w="108" w:type="dxa"/>
            <w:bottom w:w="0" w:type="dxa"/>
            <w:right w:w="108" w:type="dxa"/>
          </w:tblCellMar>
        </w:tblPrEx>
        <w:trPr>
          <w:trHeight w:val="24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按收入性质分：</w:t>
            </w:r>
          </w:p>
        </w:tc>
        <w:tc>
          <w:tcPr>
            <w:tcW w:w="506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按支出性质分：</w:t>
            </w:r>
          </w:p>
        </w:tc>
      </w:tr>
      <w:tr>
        <w:tblPrEx>
          <w:tblCellMar>
            <w:top w:w="0" w:type="dxa"/>
            <w:left w:w="108" w:type="dxa"/>
            <w:bottom w:w="0" w:type="dxa"/>
            <w:right w:w="108" w:type="dxa"/>
          </w:tblCellMar>
        </w:tblPrEx>
        <w:trPr>
          <w:trHeight w:val="24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 xml:space="preserve">  </w:t>
            </w:r>
            <w:r>
              <w:rPr>
                <w:rStyle w:val="16"/>
                <w:rFonts w:hint="default"/>
                <w:sz w:val="21"/>
                <w:szCs w:val="21"/>
              </w:rPr>
              <w:t>其中：  一般公共预算：2407.87</w:t>
            </w:r>
          </w:p>
        </w:tc>
        <w:tc>
          <w:tcPr>
            <w:tcW w:w="506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其中：基本支出：2126.94</w:t>
            </w:r>
          </w:p>
        </w:tc>
      </w:tr>
      <w:tr>
        <w:tblPrEx>
          <w:tblCellMar>
            <w:top w:w="0" w:type="dxa"/>
            <w:left w:w="108" w:type="dxa"/>
            <w:bottom w:w="0" w:type="dxa"/>
            <w:right w:w="108" w:type="dxa"/>
          </w:tblCellMar>
        </w:tblPrEx>
        <w:trPr>
          <w:trHeight w:val="24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政府性基金拨款：</w:t>
            </w:r>
          </w:p>
        </w:tc>
        <w:tc>
          <w:tcPr>
            <w:tcW w:w="506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项目支出：503.04</w:t>
            </w:r>
          </w:p>
        </w:tc>
      </w:tr>
      <w:tr>
        <w:tblPrEx>
          <w:tblCellMar>
            <w:top w:w="0" w:type="dxa"/>
            <w:left w:w="108" w:type="dxa"/>
            <w:bottom w:w="0" w:type="dxa"/>
            <w:right w:w="108" w:type="dxa"/>
          </w:tblCellMar>
        </w:tblPrEx>
        <w:trPr>
          <w:trHeight w:val="24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纳入专户管理的非税收入拨款：</w:t>
            </w:r>
          </w:p>
        </w:tc>
        <w:tc>
          <w:tcPr>
            <w:tcW w:w="506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其他资金：222.11</w:t>
            </w:r>
          </w:p>
        </w:tc>
        <w:tc>
          <w:tcPr>
            <w:tcW w:w="506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0" w:hRule="atLeast"/>
        </w:trPr>
        <w:tc>
          <w:tcPr>
            <w:tcW w:w="10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年度总体目标</w:t>
            </w: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预期目标</w:t>
            </w:r>
          </w:p>
        </w:tc>
        <w:tc>
          <w:tcPr>
            <w:tcW w:w="506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实际完成情况　</w:t>
            </w:r>
          </w:p>
        </w:tc>
      </w:tr>
      <w:tr>
        <w:tblPrEx>
          <w:tblCellMar>
            <w:top w:w="0" w:type="dxa"/>
            <w:left w:w="108" w:type="dxa"/>
            <w:bottom w:w="0" w:type="dxa"/>
            <w:right w:w="108" w:type="dxa"/>
          </w:tblCellMar>
        </w:tblPrEx>
        <w:trPr>
          <w:trHeight w:val="1577"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428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1.全面完成罗家井市场、下湄桥市场改造升级           2.妥善处置好北湖市场一期搬迁后续工作               3.妥善处置好七星大市场搬迁后续工作                4.做好市场巩文巩卫工作                            5.积极推进中心体制改革</w:t>
            </w:r>
          </w:p>
        </w:tc>
        <w:tc>
          <w:tcPr>
            <w:tcW w:w="506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 xml:space="preserve">1.完成罗家井农贸市场改造升级；完成下湄桥市场改造升级的前期准备工作                           </w:t>
            </w:r>
          </w:p>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 xml:space="preserve">2.强力推进北湖市场一期搬迁后续工作，门面合同清退率96%                                        3.做好了七星大市场搬迁后续工作                </w:t>
            </w:r>
          </w:p>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 xml:space="preserve">4.做好了市场巩文巩卫工作                     </w:t>
            </w:r>
          </w:p>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5.积极积极推进中心的体制改革工作，目前市委编办未正式下文</w:t>
            </w:r>
          </w:p>
        </w:tc>
      </w:tr>
      <w:tr>
        <w:tblPrEx>
          <w:tblCellMar>
            <w:top w:w="0" w:type="dxa"/>
            <w:left w:w="108" w:type="dxa"/>
            <w:bottom w:w="0" w:type="dxa"/>
            <w:right w:w="108" w:type="dxa"/>
          </w:tblCellMar>
        </w:tblPrEx>
        <w:trPr>
          <w:trHeight w:val="480" w:hRule="atLeast"/>
        </w:trPr>
        <w:tc>
          <w:tcPr>
            <w:tcW w:w="10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绩效指标</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一级  指标</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二级 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三级指标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年度指标值</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实际完成值</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分值</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得分</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偏差原因分析及改进措施</w:t>
            </w: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 xml:space="preserve">产出    指标 </w:t>
            </w:r>
            <w:r>
              <w:rPr>
                <w:rFonts w:hint="eastAsia" w:ascii="宋体" w:hAnsi="宋体" w:cs="宋体"/>
                <w:color w:val="000000"/>
                <w:sz w:val="15"/>
                <w:szCs w:val="15"/>
              </w:rPr>
              <w:t>（50分）</w:t>
            </w: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数量 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北湖市场合同清退率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≥95%</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96%</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七星大市场资产移交</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12月31日前</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未完成</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市政府未指定七星大市场资产接收单位</w:t>
            </w: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罗家井、下湄桥市场改造升级完成率</w:t>
            </w:r>
          </w:p>
        </w:tc>
        <w:tc>
          <w:tcPr>
            <w:tcW w:w="98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50%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根据市政府会议精神，下湄桥市场的提质升级由郴投集团具体实施，该工程未开工，尚在筹备中</w:t>
            </w: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创建宣传、标识数量</w:t>
            </w:r>
          </w:p>
        </w:tc>
        <w:tc>
          <w:tcPr>
            <w:tcW w:w="98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200块</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200块</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秩序整治次数</w:t>
            </w:r>
          </w:p>
        </w:tc>
        <w:tc>
          <w:tcPr>
            <w:tcW w:w="98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400次</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400次</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市场巡查达标率</w:t>
            </w:r>
          </w:p>
        </w:tc>
        <w:tc>
          <w:tcPr>
            <w:tcW w:w="98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卫生保洁及时率</w:t>
            </w:r>
          </w:p>
        </w:tc>
        <w:tc>
          <w:tcPr>
            <w:tcW w:w="98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62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设施维护保养次数</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24次</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24次</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810"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质量 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罗家井、下湄桥市场改造升级标准</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智慧化、现代化</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部分完成</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372"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创建宣传知晓率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≥95%</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97%</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373"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市场整治效果</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92%</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38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巡查人员出勤率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406"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卫生保洁效果</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92%</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设施维护保养合格率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687"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下拨经费符合相关政策规定比率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603"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时效 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市场秩序整治频次</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1次/天</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1次/天</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巡查频次</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1次/小时</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1次/小时</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卫生保洁频次</w:t>
            </w:r>
          </w:p>
        </w:tc>
        <w:tc>
          <w:tcPr>
            <w:tcW w:w="988"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时时保洁</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时时保洁</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故障维修及时率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成本 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创建宣传成本</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8万元</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8万元</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 xml:space="preserve">效益         指标 </w:t>
            </w:r>
            <w:r>
              <w:rPr>
                <w:rFonts w:hint="eastAsia" w:ascii="宋体" w:hAnsi="宋体" w:cs="宋体"/>
                <w:color w:val="000000"/>
                <w:sz w:val="15"/>
                <w:szCs w:val="15"/>
              </w:rPr>
              <w:t>（30分）</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经济效益指标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市场年成交额</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30亿元</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30.28亿元</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社会效益指标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满足就业率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≥98%</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98%</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安全事故控制率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完善市场基础设施率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生态效益指标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市场购物环境优化率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可持续影响指标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市场文明程度提升率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92%</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城市功能布局优化率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100%</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249" w:hRule="atLeast"/>
        </w:trPr>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21"/>
                <w:szCs w:val="21"/>
              </w:rPr>
            </w:pP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 xml:space="preserve">满意度 指标  </w:t>
            </w:r>
            <w:r>
              <w:rPr>
                <w:rFonts w:hint="eastAsia" w:ascii="宋体" w:hAnsi="宋体" w:cs="宋体"/>
                <w:color w:val="000000"/>
                <w:sz w:val="15"/>
                <w:szCs w:val="15"/>
              </w:rPr>
              <w:t>(10分）</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服务对象满意度指标</w:t>
            </w:r>
          </w:p>
        </w:tc>
        <w:tc>
          <w:tcPr>
            <w:tcW w:w="17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社会公众或服务对象满意率</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≥95%</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1"/>
                <w:szCs w:val="21"/>
              </w:rPr>
            </w:pPr>
            <w:r>
              <w:rPr>
                <w:rFonts w:hint="eastAsia" w:ascii="宋体" w:hAnsi="宋体" w:cs="宋体"/>
                <w:color w:val="000000"/>
                <w:sz w:val="21"/>
                <w:szCs w:val="21"/>
              </w:rPr>
              <w:t>95%</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10</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r>
        <w:tblPrEx>
          <w:tblCellMar>
            <w:top w:w="0" w:type="dxa"/>
            <w:left w:w="108" w:type="dxa"/>
            <w:bottom w:w="0" w:type="dxa"/>
            <w:right w:w="108" w:type="dxa"/>
          </w:tblCellMar>
        </w:tblPrEx>
        <w:trPr>
          <w:trHeight w:val="616" w:hRule="atLeast"/>
        </w:trPr>
        <w:tc>
          <w:tcPr>
            <w:tcW w:w="636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总分</w:t>
            </w:r>
          </w:p>
        </w:tc>
        <w:tc>
          <w:tcPr>
            <w:tcW w:w="5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100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95</w:t>
            </w:r>
          </w:p>
        </w:tc>
        <w:tc>
          <w:tcPr>
            <w:tcW w:w="24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sz w:val="21"/>
                <w:szCs w:val="21"/>
              </w:rPr>
            </w:pPr>
          </w:p>
        </w:tc>
      </w:tr>
    </w:tbl>
    <w:p>
      <w:pPr>
        <w:jc w:val="center"/>
        <w:rPr>
          <w:rFonts w:hint="eastAsia" w:ascii="方正小标宋简体" w:hAnsi="方正小标宋简体" w:eastAsia="方正小标宋简体" w:cs="方正小标宋简体"/>
          <w:color w:val="000000"/>
          <w:sz w:val="32"/>
          <w:szCs w:val="32"/>
        </w:rPr>
      </w:pPr>
    </w:p>
    <w:p>
      <w:pPr>
        <w:jc w:val="center"/>
        <w:rPr>
          <w:rFonts w:hint="eastAsia" w:ascii="方正小标宋简体" w:hAnsi="方正小标宋简体" w:eastAsia="方正小标宋简体" w:cs="方正小标宋简体"/>
          <w:color w:val="000000"/>
          <w:sz w:val="32"/>
          <w:szCs w:val="32"/>
        </w:rPr>
      </w:pPr>
    </w:p>
    <w:p>
      <w:pPr>
        <w:jc w:val="center"/>
        <w:rPr>
          <w:rFonts w:hint="eastAsia" w:ascii="方正小标宋简体" w:hAnsi="方正小标宋简体" w:eastAsia="方正小标宋简体" w:cs="方正小标宋简体"/>
          <w:color w:val="000000"/>
          <w:sz w:val="32"/>
          <w:szCs w:val="32"/>
        </w:rPr>
      </w:pPr>
    </w:p>
    <w:p>
      <w:pPr>
        <w:jc w:val="center"/>
        <w:rPr>
          <w:rFonts w:hint="eastAsia" w:ascii="方正小标宋简体" w:hAnsi="方正小标宋简体" w:eastAsia="方正小标宋简体" w:cs="方正小标宋简体"/>
          <w:color w:val="000000"/>
          <w:sz w:val="32"/>
          <w:szCs w:val="32"/>
        </w:rPr>
      </w:pPr>
    </w:p>
    <w:p>
      <w:pPr>
        <w:jc w:val="center"/>
        <w:rPr>
          <w:rFonts w:hint="eastAsia" w:ascii="方正小标宋简体" w:hAnsi="方正小标宋简体" w:eastAsia="方正小标宋简体" w:cs="方正小标宋简体"/>
          <w:color w:val="000000"/>
          <w:sz w:val="32"/>
          <w:szCs w:val="32"/>
        </w:rPr>
      </w:pPr>
    </w:p>
    <w:p>
      <w:pPr>
        <w:jc w:val="center"/>
        <w:rPr>
          <w:rFonts w:hint="eastAsia" w:ascii="方正小标宋简体" w:hAnsi="方正小标宋简体" w:eastAsia="方正小标宋简体" w:cs="方正小标宋简体"/>
          <w:color w:val="000000"/>
          <w:sz w:val="32"/>
          <w:szCs w:val="32"/>
        </w:rPr>
      </w:pPr>
    </w:p>
    <w:p>
      <w:pPr>
        <w:jc w:val="center"/>
        <w:rPr>
          <w:rFonts w:hint="eastAsia" w:ascii="方正小标宋简体" w:hAnsi="方正小标宋简体" w:eastAsia="方正小标宋简体" w:cs="方正小标宋简体"/>
          <w:color w:val="000000"/>
          <w:sz w:val="32"/>
          <w:szCs w:val="32"/>
        </w:rPr>
      </w:pPr>
    </w:p>
    <w:p>
      <w:pPr>
        <w:rPr>
          <w:rFonts w:ascii="宋体" w:hAnsi="宋体" w:cs="宋体"/>
          <w:color w:val="000000"/>
          <w:sz w:val="20"/>
          <w:szCs w:val="20"/>
        </w:rPr>
      </w:pPr>
    </w:p>
    <w:p>
      <w:pPr>
        <w:spacing w:line="560" w:lineRule="exact"/>
        <w:rPr>
          <w:rFonts w:ascii="黑体" w:hAnsi="宋体" w:eastAsia="黑体" w:cs="黑体"/>
          <w:color w:val="000000"/>
          <w:sz w:val="32"/>
          <w:szCs w:val="32"/>
        </w:rPr>
      </w:pPr>
    </w:p>
    <w:p>
      <w:pPr>
        <w:spacing w:line="560" w:lineRule="exact"/>
        <w:rPr>
          <w:rStyle w:val="17"/>
          <w:rFonts w:eastAsia="黑体"/>
        </w:rPr>
      </w:pPr>
      <w:r>
        <w:rPr>
          <w:rFonts w:hint="eastAsia" w:ascii="黑体" w:hAnsi="宋体" w:eastAsia="黑体" w:cs="黑体"/>
          <w:color w:val="000000"/>
          <w:sz w:val="32"/>
          <w:szCs w:val="32"/>
        </w:rPr>
        <w:t>附件</w:t>
      </w:r>
      <w:r>
        <w:rPr>
          <w:rStyle w:val="17"/>
          <w:rFonts w:eastAsia="黑体"/>
        </w:rPr>
        <w:t>4</w:t>
      </w:r>
      <w:r>
        <w:rPr>
          <w:rStyle w:val="17"/>
          <w:rFonts w:hint="eastAsia" w:eastAsia="黑体"/>
        </w:rPr>
        <w:t>-1</w:t>
      </w:r>
    </w:p>
    <w:tbl>
      <w:tblPr>
        <w:tblStyle w:val="5"/>
        <w:tblpPr w:leftFromText="180" w:rightFromText="180" w:vertAnchor="text" w:horzAnchor="page" w:tblpX="1215" w:tblpY="560"/>
        <w:tblOverlap w:val="never"/>
        <w:tblW w:w="10237" w:type="dxa"/>
        <w:tblInd w:w="0" w:type="dxa"/>
        <w:tblLayout w:type="fixed"/>
        <w:tblCellMar>
          <w:top w:w="0" w:type="dxa"/>
          <w:left w:w="108" w:type="dxa"/>
          <w:bottom w:w="0" w:type="dxa"/>
          <w:right w:w="108" w:type="dxa"/>
        </w:tblCellMar>
      </w:tblPr>
      <w:tblGrid>
        <w:gridCol w:w="1847"/>
        <w:gridCol w:w="2367"/>
        <w:gridCol w:w="6023"/>
      </w:tblGrid>
      <w:tr>
        <w:tblPrEx>
          <w:tblCellMar>
            <w:top w:w="0" w:type="dxa"/>
            <w:left w:w="108" w:type="dxa"/>
            <w:bottom w:w="0" w:type="dxa"/>
            <w:right w:w="108" w:type="dxa"/>
          </w:tblCellMar>
        </w:tblPrEx>
        <w:trPr>
          <w:trHeight w:val="600"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部门概况</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专项名称</w:t>
            </w:r>
          </w:p>
        </w:tc>
        <w:tc>
          <w:tcPr>
            <w:tcW w:w="6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预拨北湖市场（一期）转型升级后续资金</w:t>
            </w:r>
          </w:p>
        </w:tc>
      </w:tr>
      <w:tr>
        <w:tblPrEx>
          <w:tblCellMar>
            <w:top w:w="0" w:type="dxa"/>
            <w:left w:w="108" w:type="dxa"/>
            <w:bottom w:w="0" w:type="dxa"/>
            <w:right w:w="108" w:type="dxa"/>
          </w:tblCellMar>
        </w:tblPrEx>
        <w:trPr>
          <w:trHeight w:val="6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年度预算金额（调整）</w:t>
            </w:r>
          </w:p>
        </w:tc>
        <w:tc>
          <w:tcPr>
            <w:tcW w:w="6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251.15万元</w:t>
            </w:r>
          </w:p>
        </w:tc>
      </w:tr>
      <w:tr>
        <w:tblPrEx>
          <w:tblCellMar>
            <w:top w:w="0" w:type="dxa"/>
            <w:left w:w="108" w:type="dxa"/>
            <w:bottom w:w="0" w:type="dxa"/>
            <w:right w:w="108" w:type="dxa"/>
          </w:tblCellMar>
        </w:tblPrEx>
        <w:trPr>
          <w:trHeight w:val="6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项目主管部门</w:t>
            </w:r>
          </w:p>
        </w:tc>
        <w:tc>
          <w:tcPr>
            <w:tcW w:w="6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郴州市商务局</w:t>
            </w:r>
          </w:p>
        </w:tc>
      </w:tr>
      <w:tr>
        <w:tblPrEx>
          <w:tblCellMar>
            <w:top w:w="0" w:type="dxa"/>
            <w:left w:w="108" w:type="dxa"/>
            <w:bottom w:w="0" w:type="dxa"/>
            <w:right w:w="108" w:type="dxa"/>
          </w:tblCellMar>
        </w:tblPrEx>
        <w:trPr>
          <w:trHeight w:val="6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项目立项目的</w:t>
            </w:r>
          </w:p>
        </w:tc>
        <w:tc>
          <w:tcPr>
            <w:tcW w:w="6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加压奋进，全力配合各县市区开展北湖市场（一期）关停后续相关工作，并及时支付清退款。</w:t>
            </w:r>
          </w:p>
        </w:tc>
      </w:tr>
      <w:tr>
        <w:tblPrEx>
          <w:tblCellMar>
            <w:top w:w="0" w:type="dxa"/>
            <w:left w:w="108" w:type="dxa"/>
            <w:bottom w:w="0" w:type="dxa"/>
            <w:right w:w="108" w:type="dxa"/>
          </w:tblCellMar>
        </w:tblPrEx>
        <w:trPr>
          <w:trHeight w:val="1500"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绩效情况</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项目支出管理和使用   基本情况</w:t>
            </w:r>
          </w:p>
        </w:tc>
        <w:tc>
          <w:tcPr>
            <w:tcW w:w="6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高度重视、高频调度；多措并举、攻坚克难；主动担当、积极应诉；化解矛盾、维稳息诉。全力配合各县市区开展北湖市场（一期）未清退长期租赁门面的清退工作，在清退协议签订完成的7个工作日内将清退款支付给清退人。本年度该项目支出213.49万元。</w:t>
            </w:r>
          </w:p>
        </w:tc>
      </w:tr>
      <w:tr>
        <w:tblPrEx>
          <w:tblCellMar>
            <w:top w:w="0" w:type="dxa"/>
            <w:left w:w="108" w:type="dxa"/>
            <w:bottom w:w="0" w:type="dxa"/>
            <w:right w:w="108" w:type="dxa"/>
          </w:tblCellMar>
        </w:tblPrEx>
        <w:trPr>
          <w:trHeight w:val="6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项目绩效目标完成情况</w:t>
            </w:r>
          </w:p>
        </w:tc>
        <w:tc>
          <w:tcPr>
            <w:tcW w:w="6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北湖市场（一期)关停已近两年，因市场门面种类多、情况复杂，存在诸多历史遗留问题，我单位作为原北湖市场（一期)的主体，主动履职，开展了大量卓有成效的工作。市场关闭后，累计发生了四批次470人次共263件行政诉讼案。我单位积极以第三人身份参加了所有批次的行政诉讼案件的应诉工作，主动与省高院、最高院沟通，确保了诉讼的依法有利判决，截至目前所有行政诉讼全部胜诉。2021年，由市专项市场转型升级领导小组牵头，我单位联合属地政府，组建了“一对一”工作专班，登门拜访、面对面沟通，进行清退劝导。8月26日以来，坚持每日一汇总、每周一调度，分析研判形势，解决困难和问题，全力推进搬迁后续工作。截至12月底仅剩60余户以息抵租类合同业主未办理清退手续，清退率达96%。北马市场搬迁项目被评为郴州市优秀惠民项目。</w:t>
            </w:r>
          </w:p>
        </w:tc>
      </w:tr>
      <w:tr>
        <w:tblPrEx>
          <w:tblCellMar>
            <w:top w:w="0" w:type="dxa"/>
            <w:left w:w="108" w:type="dxa"/>
            <w:bottom w:w="0" w:type="dxa"/>
            <w:right w:w="108" w:type="dxa"/>
          </w:tblCellMar>
        </w:tblPrEx>
        <w:trPr>
          <w:trHeight w:val="6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2955"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402" w:hRule="atLeast"/>
        </w:trPr>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存在的问题分析及改进措施</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存在的问题</w:t>
            </w:r>
          </w:p>
        </w:tc>
        <w:tc>
          <w:tcPr>
            <w:tcW w:w="6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各县市区（未清退门面承租户的属地政府）及“一对一”联系部门均反映尚未清退的承租户经反复做工作，清退意愿仍不高，清退难度很大。</w:t>
            </w:r>
          </w:p>
        </w:tc>
      </w:tr>
      <w:tr>
        <w:tblPrEx>
          <w:tblCellMar>
            <w:top w:w="0" w:type="dxa"/>
            <w:left w:w="108" w:type="dxa"/>
            <w:bottom w:w="0" w:type="dxa"/>
            <w:right w:w="108" w:type="dxa"/>
          </w:tblCellMar>
        </w:tblPrEx>
        <w:trPr>
          <w:trHeight w:val="40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40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改进措施</w:t>
            </w:r>
          </w:p>
        </w:tc>
        <w:tc>
          <w:tcPr>
            <w:tcW w:w="6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一是与属地政府和各联系单位共同发力，继续推进未清退门面的清退工作。二是拟提请市政府同意，启动对未清退业主的民事诉讼，对未清退款实施司法提存。</w:t>
            </w:r>
          </w:p>
        </w:tc>
      </w:tr>
      <w:tr>
        <w:tblPrEx>
          <w:tblCellMar>
            <w:top w:w="0" w:type="dxa"/>
            <w:left w:w="108" w:type="dxa"/>
            <w:bottom w:w="0" w:type="dxa"/>
            <w:right w:w="108" w:type="dxa"/>
          </w:tblCellMar>
        </w:tblPrEx>
        <w:trPr>
          <w:trHeight w:val="40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其他需要说明问题</w:t>
            </w:r>
          </w:p>
        </w:tc>
        <w:tc>
          <w:tcPr>
            <w:tcW w:w="6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40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402" w:hRule="atLeast"/>
        </w:trPr>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bl>
    <w:p>
      <w:pPr>
        <w:spacing w:line="560" w:lineRule="exact"/>
        <w:jc w:val="center"/>
        <w:rPr>
          <w:rFonts w:ascii="宋体" w:hAnsi="宋体" w:cs="宋体"/>
          <w:color w:val="000000"/>
          <w:sz w:val="32"/>
          <w:szCs w:val="32"/>
        </w:rPr>
      </w:pPr>
      <w:r>
        <w:rPr>
          <w:rFonts w:hint="eastAsia" w:ascii="方正小标宋简体" w:hAnsi="方正小标宋简体" w:eastAsia="方正小标宋简体" w:cs="方正小标宋简体"/>
          <w:color w:val="000000"/>
          <w:sz w:val="32"/>
          <w:szCs w:val="32"/>
        </w:rPr>
        <w:t>2021年度项目支出绩效自评报告</w:t>
      </w:r>
    </w:p>
    <w:p>
      <w:pPr>
        <w:spacing w:line="560" w:lineRule="exact"/>
        <w:rPr>
          <w:rFonts w:ascii="宋体" w:hAnsi="宋体" w:cs="宋体"/>
          <w:color w:val="000000"/>
          <w:sz w:val="20"/>
          <w:szCs w:val="20"/>
        </w:rPr>
      </w:pPr>
      <w:r>
        <w:rPr>
          <w:rFonts w:hint="eastAsia" w:ascii="宋体" w:hAnsi="宋体" w:cs="宋体"/>
          <w:color w:val="000000"/>
          <w:sz w:val="20"/>
          <w:szCs w:val="20"/>
        </w:rPr>
        <w:t>备注：每个项目支出分别填报自评报告和自评表。</w:t>
      </w:r>
    </w:p>
    <w:p>
      <w:pPr>
        <w:spacing w:line="560" w:lineRule="exact"/>
        <w:rPr>
          <w:rFonts w:ascii="Times New Roman" w:hAnsi="Times New Roman" w:eastAsia="黑体"/>
          <w:color w:val="000000"/>
          <w:sz w:val="32"/>
          <w:szCs w:val="32"/>
        </w:rPr>
      </w:pPr>
      <w:r>
        <w:rPr>
          <w:rFonts w:hint="eastAsia" w:ascii="黑体" w:hAnsi="宋体" w:eastAsia="黑体" w:cs="黑体"/>
          <w:color w:val="000000"/>
          <w:sz w:val="32"/>
          <w:szCs w:val="32"/>
        </w:rPr>
        <w:t>附件</w:t>
      </w:r>
      <w:r>
        <w:rPr>
          <w:rFonts w:ascii="Times New Roman" w:hAnsi="Times New Roman" w:eastAsia="黑体"/>
          <w:color w:val="000000"/>
          <w:sz w:val="32"/>
          <w:szCs w:val="32"/>
        </w:rPr>
        <w:t>4</w:t>
      </w:r>
      <w:r>
        <w:rPr>
          <w:rFonts w:hint="eastAsia" w:ascii="Times New Roman" w:hAnsi="Times New Roman" w:eastAsia="黑体"/>
          <w:color w:val="000000"/>
          <w:sz w:val="32"/>
          <w:szCs w:val="32"/>
        </w:rPr>
        <w:t>-2</w:t>
      </w:r>
    </w:p>
    <w:p>
      <w:pPr>
        <w:spacing w:line="560" w:lineRule="exact"/>
        <w:jc w:val="center"/>
        <w:rPr>
          <w:rFonts w:ascii="宋体" w:hAnsi="宋体" w:cs="宋体"/>
          <w:color w:val="000000"/>
          <w:sz w:val="32"/>
          <w:szCs w:val="32"/>
        </w:rPr>
      </w:pPr>
      <w:r>
        <w:rPr>
          <w:rFonts w:hint="eastAsia" w:ascii="方正小标宋简体" w:hAnsi="方正小标宋简体" w:eastAsia="方正小标宋简体" w:cs="方正小标宋简体"/>
          <w:color w:val="000000"/>
          <w:sz w:val="32"/>
          <w:szCs w:val="32"/>
        </w:rPr>
        <w:t>2021年度项目支出绩效自评报告</w:t>
      </w:r>
    </w:p>
    <w:tbl>
      <w:tblPr>
        <w:tblStyle w:val="5"/>
        <w:tblpPr w:leftFromText="180" w:rightFromText="180" w:vertAnchor="text" w:horzAnchor="page" w:tblpX="1095" w:tblpY="474"/>
        <w:tblOverlap w:val="never"/>
        <w:tblW w:w="10237" w:type="dxa"/>
        <w:tblInd w:w="0" w:type="dxa"/>
        <w:tblLayout w:type="fixed"/>
        <w:tblCellMar>
          <w:top w:w="0" w:type="dxa"/>
          <w:left w:w="108" w:type="dxa"/>
          <w:bottom w:w="0" w:type="dxa"/>
          <w:right w:w="108" w:type="dxa"/>
        </w:tblCellMar>
      </w:tblPr>
      <w:tblGrid>
        <w:gridCol w:w="2047"/>
        <w:gridCol w:w="2383"/>
        <w:gridCol w:w="5807"/>
      </w:tblGrid>
      <w:tr>
        <w:tblPrEx>
          <w:tblCellMar>
            <w:top w:w="0" w:type="dxa"/>
            <w:left w:w="108" w:type="dxa"/>
            <w:bottom w:w="0" w:type="dxa"/>
            <w:right w:w="108" w:type="dxa"/>
          </w:tblCellMar>
        </w:tblPrEx>
        <w:trPr>
          <w:trHeight w:val="600" w:hRule="atLeast"/>
        </w:trPr>
        <w:tc>
          <w:tcPr>
            <w:tcW w:w="2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部门概况</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专项名称</w:t>
            </w:r>
          </w:p>
        </w:tc>
        <w:tc>
          <w:tcPr>
            <w:tcW w:w="5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七星大市场钢架结构雨棚拆除费用</w:t>
            </w: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年度预算金额（调整）</w:t>
            </w:r>
          </w:p>
        </w:tc>
        <w:tc>
          <w:tcPr>
            <w:tcW w:w="5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29.10万元</w:t>
            </w: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项目主管部门</w:t>
            </w:r>
          </w:p>
        </w:tc>
        <w:tc>
          <w:tcPr>
            <w:tcW w:w="5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郴州市商务局</w:t>
            </w: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项目立项目的</w:t>
            </w:r>
          </w:p>
        </w:tc>
        <w:tc>
          <w:tcPr>
            <w:tcW w:w="5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支付七星大市场钢架结构雨棚拆除费用</w:t>
            </w:r>
          </w:p>
        </w:tc>
      </w:tr>
      <w:tr>
        <w:tblPrEx>
          <w:tblCellMar>
            <w:top w:w="0" w:type="dxa"/>
            <w:left w:w="108" w:type="dxa"/>
            <w:bottom w:w="0" w:type="dxa"/>
            <w:right w:w="108" w:type="dxa"/>
          </w:tblCellMar>
        </w:tblPrEx>
        <w:trPr>
          <w:trHeight w:val="1500" w:hRule="atLeast"/>
        </w:trPr>
        <w:tc>
          <w:tcPr>
            <w:tcW w:w="2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绩效情况</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项目支出管理和使用     基本情况</w:t>
            </w:r>
          </w:p>
        </w:tc>
        <w:tc>
          <w:tcPr>
            <w:tcW w:w="5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管理部门加强施工现场管理，安全拆除。按工程审定金额申请的资金足额到位，全额支付，预算执行率100%</w:t>
            </w: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项目绩效目标完成情况</w:t>
            </w:r>
          </w:p>
        </w:tc>
        <w:tc>
          <w:tcPr>
            <w:tcW w:w="5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按照市机关事务管理局同意报废并安全拆除，资产处置收益严格执行“收支两条线”管理的有关要求，我单位将拆除下来的废旧物资（评估价格26.15万元）通过湖南省联合产权交易所公开发布资产转让信息并组织交易，在交易平台挂牌竞价转让，最终交易价格47.95万元，溢价率83.38%，拆除工程费用29.10万元，取得处置净收益18.85万元。</w:t>
            </w: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87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20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存在的问题分析及 改进措施</w:t>
            </w:r>
          </w:p>
        </w:tc>
        <w:tc>
          <w:tcPr>
            <w:tcW w:w="2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存在的问题</w:t>
            </w:r>
          </w:p>
        </w:tc>
        <w:tc>
          <w:tcPr>
            <w:tcW w:w="5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18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改进措施</w:t>
            </w:r>
          </w:p>
        </w:tc>
        <w:tc>
          <w:tcPr>
            <w:tcW w:w="5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其他需要说明问题</w:t>
            </w:r>
          </w:p>
        </w:tc>
        <w:tc>
          <w:tcPr>
            <w:tcW w:w="5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bl>
    <w:p>
      <w:pPr>
        <w:spacing w:line="560" w:lineRule="exact"/>
        <w:rPr>
          <w:rFonts w:ascii="黑体" w:hAnsi="宋体" w:eastAsia="黑体" w:cs="黑体"/>
          <w:color w:val="000000"/>
          <w:sz w:val="32"/>
          <w:szCs w:val="32"/>
        </w:rPr>
      </w:pPr>
      <w:r>
        <w:rPr>
          <w:rFonts w:hint="eastAsia" w:ascii="宋体" w:hAnsi="宋体" w:cs="宋体"/>
          <w:color w:val="000000"/>
          <w:sz w:val="20"/>
          <w:szCs w:val="20"/>
        </w:rPr>
        <w:t>备注：每个项目支出分别填报自评报告和自评表。</w:t>
      </w:r>
    </w:p>
    <w:p>
      <w:pPr>
        <w:spacing w:line="560" w:lineRule="exact"/>
        <w:rPr>
          <w:rFonts w:ascii="Times New Roman" w:hAnsi="Times New Roman" w:eastAsia="黑体"/>
          <w:color w:val="000000"/>
          <w:sz w:val="32"/>
          <w:szCs w:val="32"/>
        </w:rPr>
      </w:pPr>
      <w:r>
        <w:rPr>
          <w:rFonts w:hint="eastAsia" w:ascii="黑体" w:hAnsi="宋体" w:eastAsia="黑体" w:cs="黑体"/>
          <w:color w:val="000000"/>
          <w:sz w:val="32"/>
          <w:szCs w:val="32"/>
        </w:rPr>
        <w:t>附件</w:t>
      </w:r>
      <w:r>
        <w:rPr>
          <w:rFonts w:ascii="Times New Roman" w:hAnsi="Times New Roman" w:eastAsia="黑体"/>
          <w:color w:val="000000"/>
          <w:sz w:val="32"/>
          <w:szCs w:val="32"/>
        </w:rPr>
        <w:t>4</w:t>
      </w:r>
      <w:r>
        <w:rPr>
          <w:rFonts w:hint="eastAsia" w:ascii="Times New Roman" w:hAnsi="Times New Roman" w:eastAsia="黑体"/>
          <w:color w:val="000000"/>
          <w:sz w:val="32"/>
          <w:szCs w:val="32"/>
        </w:rPr>
        <w:t>-3</w:t>
      </w:r>
    </w:p>
    <w:p>
      <w:pPr>
        <w:spacing w:line="560" w:lineRule="exact"/>
        <w:jc w:val="center"/>
        <w:rPr>
          <w:rFonts w:ascii="宋体" w:hAnsi="宋体" w:cs="宋体"/>
          <w:color w:val="000000"/>
          <w:sz w:val="32"/>
          <w:szCs w:val="32"/>
        </w:rPr>
      </w:pPr>
      <w:r>
        <w:rPr>
          <w:rFonts w:hint="eastAsia" w:ascii="方正小标宋简体" w:hAnsi="方正小标宋简体" w:eastAsia="方正小标宋简体" w:cs="方正小标宋简体"/>
          <w:color w:val="000000"/>
          <w:sz w:val="32"/>
          <w:szCs w:val="32"/>
        </w:rPr>
        <w:t>2021年度项目支出绩效自评报告</w:t>
      </w:r>
    </w:p>
    <w:tbl>
      <w:tblPr>
        <w:tblStyle w:val="5"/>
        <w:tblpPr w:leftFromText="180" w:rightFromText="180" w:vertAnchor="text" w:horzAnchor="page" w:tblpX="1245" w:tblpY="498"/>
        <w:tblOverlap w:val="never"/>
        <w:tblW w:w="10237" w:type="dxa"/>
        <w:tblInd w:w="0" w:type="dxa"/>
        <w:tblLayout w:type="fixed"/>
        <w:tblCellMar>
          <w:top w:w="0" w:type="dxa"/>
          <w:left w:w="108" w:type="dxa"/>
          <w:bottom w:w="0" w:type="dxa"/>
          <w:right w:w="108" w:type="dxa"/>
        </w:tblCellMar>
      </w:tblPr>
      <w:tblGrid>
        <w:gridCol w:w="1514"/>
        <w:gridCol w:w="2066"/>
        <w:gridCol w:w="6657"/>
      </w:tblGrid>
      <w:tr>
        <w:tblPrEx>
          <w:tblCellMar>
            <w:top w:w="0" w:type="dxa"/>
            <w:left w:w="108" w:type="dxa"/>
            <w:bottom w:w="0" w:type="dxa"/>
            <w:right w:w="108" w:type="dxa"/>
          </w:tblCellMar>
        </w:tblPrEx>
        <w:trPr>
          <w:trHeight w:val="600" w:hRule="atLeast"/>
        </w:trPr>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部门概况</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专项名称</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市中心城区农产品批发市场搬迁资金（预备费）</w:t>
            </w:r>
          </w:p>
        </w:tc>
      </w:tr>
      <w:tr>
        <w:tblPrEx>
          <w:tblCellMar>
            <w:top w:w="0" w:type="dxa"/>
            <w:left w:w="108" w:type="dxa"/>
            <w:bottom w:w="0" w:type="dxa"/>
            <w:right w:w="108" w:type="dxa"/>
          </w:tblCellMar>
        </w:tblPrEx>
        <w:trPr>
          <w:trHeight w:val="600"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年度预算金额（调整）</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80万元</w:t>
            </w:r>
          </w:p>
        </w:tc>
      </w:tr>
      <w:tr>
        <w:tblPrEx>
          <w:tblCellMar>
            <w:top w:w="0" w:type="dxa"/>
            <w:left w:w="108" w:type="dxa"/>
            <w:bottom w:w="0" w:type="dxa"/>
            <w:right w:w="108" w:type="dxa"/>
          </w:tblCellMar>
        </w:tblPrEx>
        <w:trPr>
          <w:trHeight w:val="600"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项目主管部门</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郴州市商务局</w:t>
            </w:r>
          </w:p>
        </w:tc>
      </w:tr>
      <w:tr>
        <w:tblPrEx>
          <w:tblCellMar>
            <w:top w:w="0" w:type="dxa"/>
            <w:left w:w="108" w:type="dxa"/>
            <w:bottom w:w="0" w:type="dxa"/>
            <w:right w:w="108" w:type="dxa"/>
          </w:tblCellMar>
        </w:tblPrEx>
        <w:trPr>
          <w:trHeight w:val="600"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项目立项目的</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保证七星大市场搬迁工作顺利开展</w:t>
            </w:r>
          </w:p>
        </w:tc>
      </w:tr>
      <w:tr>
        <w:tblPrEx>
          <w:tblCellMar>
            <w:top w:w="0" w:type="dxa"/>
            <w:left w:w="108" w:type="dxa"/>
            <w:bottom w:w="0" w:type="dxa"/>
            <w:right w:w="108" w:type="dxa"/>
          </w:tblCellMar>
        </w:tblPrEx>
        <w:trPr>
          <w:trHeight w:val="1500" w:hRule="atLeast"/>
        </w:trPr>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绩效情况</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项目支出管理和使用   基本情况</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成功引导七星大市场农批业态搬迁至中国供销郴州农副产品物流园。本年度该项目支出72.68万元。</w:t>
            </w:r>
          </w:p>
        </w:tc>
      </w:tr>
      <w:tr>
        <w:tblPrEx>
          <w:tblCellMar>
            <w:top w:w="0" w:type="dxa"/>
            <w:left w:w="108" w:type="dxa"/>
            <w:bottom w:w="0" w:type="dxa"/>
            <w:right w:w="108" w:type="dxa"/>
          </w:tblCellMar>
        </w:tblPrEx>
        <w:trPr>
          <w:trHeight w:val="312"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项目绩效目标     完成情况</w:t>
            </w:r>
          </w:p>
        </w:tc>
        <w:tc>
          <w:tcPr>
            <w:tcW w:w="6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七星大市场于2020年12月20日搬迁关停后，我单位一是做好了安全维稳、清产核资等后续处置工作。二是对搬迁商户“扶上马、送一程”，跟踪走访，协调解决商户在承接市场的经营困难和问题。三是多次提请市政府尽快确定七星大市场的资产接收单位，规划开发，避免国有资产闲置。</w:t>
            </w:r>
          </w:p>
        </w:tc>
      </w:tr>
      <w:tr>
        <w:tblPrEx>
          <w:tblCellMar>
            <w:top w:w="0" w:type="dxa"/>
            <w:left w:w="108" w:type="dxa"/>
            <w:bottom w:w="0" w:type="dxa"/>
            <w:right w:w="108" w:type="dxa"/>
          </w:tblCellMar>
        </w:tblPrEx>
        <w:trPr>
          <w:trHeight w:val="2265"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存在的问题分析及改进措施</w:t>
            </w: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存在的问题</w:t>
            </w:r>
          </w:p>
        </w:tc>
        <w:tc>
          <w:tcPr>
            <w:tcW w:w="6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因市政府未确定七星大市场的资产接收单位，目前该资产处于闲置状态且持续产生相关维护费用</w:t>
            </w:r>
          </w:p>
        </w:tc>
      </w:tr>
      <w:tr>
        <w:tblPrEx>
          <w:tblCellMar>
            <w:top w:w="0" w:type="dxa"/>
            <w:left w:w="108" w:type="dxa"/>
            <w:bottom w:w="0" w:type="dxa"/>
            <w:right w:w="108" w:type="dxa"/>
          </w:tblCellMar>
        </w:tblPrEx>
        <w:trPr>
          <w:trHeight w:val="600"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1655"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改进措施</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继续提请市政府尽快确定七星大市场的资产接收单位，启动规划开发</w:t>
            </w:r>
          </w:p>
        </w:tc>
      </w:tr>
      <w:tr>
        <w:tblPrEx>
          <w:tblCellMar>
            <w:top w:w="0" w:type="dxa"/>
            <w:left w:w="108" w:type="dxa"/>
            <w:bottom w:w="0" w:type="dxa"/>
            <w:right w:w="108" w:type="dxa"/>
          </w:tblCellMar>
        </w:tblPrEx>
        <w:trPr>
          <w:trHeight w:val="600"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其他需要说明问题</w:t>
            </w:r>
          </w:p>
        </w:tc>
        <w:tc>
          <w:tcPr>
            <w:tcW w:w="6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r>
        <w:tblPrEx>
          <w:tblCellMar>
            <w:top w:w="0" w:type="dxa"/>
            <w:left w:w="108" w:type="dxa"/>
            <w:bottom w:w="0" w:type="dxa"/>
            <w:right w:w="108" w:type="dxa"/>
          </w:tblCellMar>
        </w:tblPrEx>
        <w:trPr>
          <w:trHeight w:val="405" w:hRule="atLeast"/>
        </w:trPr>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6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r>
    </w:tbl>
    <w:p>
      <w:pPr>
        <w:spacing w:line="560" w:lineRule="exact"/>
        <w:rPr>
          <w:rFonts w:ascii="宋体" w:hAnsi="宋体" w:cs="宋体"/>
          <w:color w:val="000000"/>
          <w:sz w:val="20"/>
          <w:szCs w:val="20"/>
        </w:rPr>
      </w:pPr>
      <w:r>
        <w:rPr>
          <w:rFonts w:hint="eastAsia" w:ascii="宋体" w:hAnsi="宋体" w:cs="宋体"/>
          <w:color w:val="000000"/>
          <w:sz w:val="20"/>
          <w:szCs w:val="20"/>
        </w:rPr>
        <w:t>备注：每个项目支出分别填报自评报告和自评表。</w:t>
      </w:r>
    </w:p>
    <w:p>
      <w:pPr>
        <w:jc w:val="left"/>
        <w:rPr>
          <w:rFonts w:ascii="宋体" w:hAnsi="宋体" w:cs="宋体"/>
          <w:color w:val="000000"/>
          <w:sz w:val="32"/>
          <w:szCs w:val="32"/>
        </w:rPr>
      </w:pPr>
      <w:r>
        <w:rPr>
          <w:rFonts w:hint="eastAsia" w:ascii="黑体" w:hAnsi="宋体" w:eastAsia="黑体" w:cs="黑体"/>
          <w:color w:val="000000"/>
          <w:sz w:val="32"/>
          <w:szCs w:val="32"/>
        </w:rPr>
        <w:t>附件</w:t>
      </w:r>
      <w:r>
        <w:rPr>
          <w:rStyle w:val="18"/>
          <w:rFonts w:eastAsia="黑体"/>
        </w:rPr>
        <w:t>5</w:t>
      </w:r>
      <w:r>
        <w:rPr>
          <w:rStyle w:val="18"/>
          <w:rFonts w:hint="eastAsia" w:eastAsia="黑体"/>
        </w:rPr>
        <w:t>-1</w:t>
      </w:r>
      <w:r>
        <w:rPr>
          <w:rStyle w:val="18"/>
          <w:rFonts w:hint="eastAsia" w:eastAsia="黑体"/>
          <w:lang w:val="en-US" w:eastAsia="zh-CN"/>
        </w:rPr>
        <w:t xml:space="preserve">        </w:t>
      </w:r>
      <w:r>
        <w:rPr>
          <w:rFonts w:hint="eastAsia" w:ascii="方正小标宋简体" w:hAnsi="方正小标宋简体" w:eastAsia="方正小标宋简体" w:cs="方正小标宋简体"/>
          <w:color w:val="000000"/>
          <w:sz w:val="32"/>
          <w:szCs w:val="32"/>
        </w:rPr>
        <w:t>2021年度项目支出绩效自评表</w:t>
      </w:r>
    </w:p>
    <w:p>
      <w:pPr>
        <w:rPr>
          <w:rFonts w:ascii="宋体" w:hAnsi="宋体" w:cs="宋体"/>
          <w:color w:val="000000"/>
          <w:sz w:val="20"/>
          <w:szCs w:val="20"/>
        </w:rPr>
      </w:pPr>
    </w:p>
    <w:tbl>
      <w:tblPr>
        <w:tblStyle w:val="5"/>
        <w:tblW w:w="10263" w:type="dxa"/>
        <w:tblInd w:w="-317" w:type="dxa"/>
        <w:tblLayout w:type="fixed"/>
        <w:tblCellMar>
          <w:top w:w="0" w:type="dxa"/>
          <w:left w:w="108" w:type="dxa"/>
          <w:bottom w:w="0" w:type="dxa"/>
          <w:right w:w="108" w:type="dxa"/>
        </w:tblCellMar>
      </w:tblPr>
      <w:tblGrid>
        <w:gridCol w:w="1113"/>
        <w:gridCol w:w="1100"/>
        <w:gridCol w:w="1050"/>
        <w:gridCol w:w="1234"/>
        <w:gridCol w:w="1250"/>
        <w:gridCol w:w="1216"/>
        <w:gridCol w:w="800"/>
        <w:gridCol w:w="750"/>
        <w:gridCol w:w="1750"/>
      </w:tblGrid>
      <w:tr>
        <w:tblPrEx>
          <w:tblCellMar>
            <w:top w:w="0" w:type="dxa"/>
            <w:left w:w="108" w:type="dxa"/>
            <w:bottom w:w="0" w:type="dxa"/>
            <w:right w:w="108" w:type="dxa"/>
          </w:tblCellMar>
        </w:tblPrEx>
        <w:trPr>
          <w:trHeight w:val="312" w:hRule="atLeast"/>
        </w:trPr>
        <w:tc>
          <w:tcPr>
            <w:tcW w:w="1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项目支出名称</w:t>
            </w:r>
          </w:p>
        </w:tc>
        <w:tc>
          <w:tcPr>
            <w:tcW w:w="9150"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预拨北湖市场（一期）转型升级后续资金</w:t>
            </w:r>
          </w:p>
        </w:tc>
      </w:tr>
      <w:tr>
        <w:tblPrEx>
          <w:tblCellMar>
            <w:top w:w="0" w:type="dxa"/>
            <w:left w:w="108" w:type="dxa"/>
            <w:bottom w:w="0" w:type="dxa"/>
            <w:right w:w="108" w:type="dxa"/>
          </w:tblCellMar>
        </w:tblPrEx>
        <w:trPr>
          <w:trHeight w:val="312" w:hRule="atLeast"/>
        </w:trPr>
        <w:tc>
          <w:tcPr>
            <w:tcW w:w="11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150" w:type="dxa"/>
            <w:gridSpan w:val="8"/>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11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主管部门</w:t>
            </w:r>
          </w:p>
        </w:tc>
        <w:tc>
          <w:tcPr>
            <w:tcW w:w="46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郴州市商务局</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实施单位</w:t>
            </w:r>
          </w:p>
        </w:tc>
        <w:tc>
          <w:tcPr>
            <w:tcW w:w="3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郴州市市场服务中心</w:t>
            </w:r>
          </w:p>
        </w:tc>
      </w:tr>
      <w:tr>
        <w:tblPrEx>
          <w:tblCellMar>
            <w:top w:w="0" w:type="dxa"/>
            <w:left w:w="108" w:type="dxa"/>
            <w:bottom w:w="0" w:type="dxa"/>
            <w:right w:w="108" w:type="dxa"/>
          </w:tblCellMar>
        </w:tblPrEx>
        <w:trPr>
          <w:trHeight w:val="312" w:hRule="atLeast"/>
        </w:trPr>
        <w:tc>
          <w:tcPr>
            <w:tcW w:w="1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项目资金 （万元）</w:t>
            </w:r>
          </w:p>
        </w:tc>
        <w:tc>
          <w:tcPr>
            <w:tcW w:w="215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年初预算数</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cs="宋体"/>
                <w:color w:val="000000"/>
                <w:sz w:val="20"/>
                <w:szCs w:val="20"/>
              </w:rPr>
            </w:pPr>
            <w:r>
              <w:rPr>
                <w:rFonts w:hint="eastAsia" w:ascii="宋体" w:hAnsi="宋体" w:cs="宋体"/>
                <w:color w:val="000000"/>
                <w:sz w:val="20"/>
                <w:szCs w:val="20"/>
              </w:rPr>
              <w:t>全年     预算数</w:t>
            </w:r>
          </w:p>
        </w:tc>
        <w:tc>
          <w:tcPr>
            <w:tcW w:w="12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cs="宋体"/>
                <w:color w:val="000000"/>
                <w:sz w:val="20"/>
                <w:szCs w:val="20"/>
              </w:rPr>
            </w:pPr>
            <w:r>
              <w:rPr>
                <w:rFonts w:hint="eastAsia" w:ascii="宋体" w:hAnsi="宋体" w:cs="宋体"/>
                <w:color w:val="000000"/>
                <w:sz w:val="20"/>
                <w:szCs w:val="20"/>
              </w:rPr>
              <w:t>全年     执行数</w:t>
            </w:r>
          </w:p>
        </w:tc>
        <w:tc>
          <w:tcPr>
            <w:tcW w:w="8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cs="宋体"/>
                <w:color w:val="000000"/>
                <w:sz w:val="20"/>
                <w:szCs w:val="20"/>
              </w:rPr>
            </w:pPr>
            <w:r>
              <w:rPr>
                <w:rFonts w:hint="eastAsia" w:ascii="宋体" w:hAnsi="宋体" w:cs="宋体"/>
                <w:color w:val="000000"/>
                <w:sz w:val="20"/>
                <w:szCs w:val="20"/>
              </w:rPr>
              <w:t>分值</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cs="宋体"/>
                <w:color w:val="000000"/>
                <w:sz w:val="20"/>
                <w:szCs w:val="20"/>
              </w:rPr>
            </w:pPr>
            <w:r>
              <w:rPr>
                <w:rFonts w:hint="eastAsia" w:ascii="宋体" w:hAnsi="宋体" w:cs="宋体"/>
                <w:color w:val="000000"/>
                <w:sz w:val="20"/>
                <w:szCs w:val="20"/>
              </w:rPr>
              <w:t>执行率</w:t>
            </w:r>
          </w:p>
        </w:tc>
        <w:tc>
          <w:tcPr>
            <w:tcW w:w="17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cs="宋体"/>
                <w:color w:val="000000"/>
                <w:sz w:val="20"/>
                <w:szCs w:val="20"/>
              </w:rPr>
            </w:pPr>
            <w:r>
              <w:rPr>
                <w:rFonts w:hint="eastAsia" w:ascii="宋体" w:hAnsi="宋体" w:cs="宋体"/>
                <w:color w:val="000000"/>
                <w:sz w:val="20"/>
                <w:szCs w:val="20"/>
              </w:rPr>
              <w:t>得分</w:t>
            </w:r>
          </w:p>
        </w:tc>
      </w:tr>
      <w:tr>
        <w:tblPrEx>
          <w:tblCellMar>
            <w:top w:w="0" w:type="dxa"/>
            <w:left w:w="108" w:type="dxa"/>
            <w:bottom w:w="0" w:type="dxa"/>
            <w:right w:w="108" w:type="dxa"/>
          </w:tblCellMar>
        </w:tblPrEx>
        <w:trPr>
          <w:trHeight w:val="312" w:hRule="atLeast"/>
        </w:trPr>
        <w:tc>
          <w:tcPr>
            <w:tcW w:w="11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11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1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年度资金总额　</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251.15 </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213.49 </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85%</w:t>
            </w:r>
          </w:p>
        </w:tc>
        <w:tc>
          <w:tcPr>
            <w:tcW w:w="17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8.50 </w:t>
            </w:r>
          </w:p>
        </w:tc>
      </w:tr>
      <w:tr>
        <w:tblPrEx>
          <w:tblCellMar>
            <w:top w:w="0" w:type="dxa"/>
            <w:left w:w="108" w:type="dxa"/>
            <w:bottom w:w="0" w:type="dxa"/>
            <w:right w:w="108" w:type="dxa"/>
          </w:tblCellMar>
        </w:tblPrEx>
        <w:trPr>
          <w:trHeight w:val="285" w:hRule="atLeast"/>
        </w:trPr>
        <w:tc>
          <w:tcPr>
            <w:tcW w:w="11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1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其中：当年财政拨款　</w:t>
            </w:r>
          </w:p>
        </w:tc>
        <w:tc>
          <w:tcPr>
            <w:tcW w:w="123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 251.15 </w:t>
            </w:r>
          </w:p>
        </w:tc>
        <w:tc>
          <w:tcPr>
            <w:tcW w:w="12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8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11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1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上年结转资金　</w:t>
            </w:r>
          </w:p>
        </w:tc>
        <w:tc>
          <w:tcPr>
            <w:tcW w:w="123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8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11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15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其他资金</w:t>
            </w:r>
          </w:p>
        </w:tc>
        <w:tc>
          <w:tcPr>
            <w:tcW w:w="123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80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c>
          <w:tcPr>
            <w:tcW w:w="17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285" w:hRule="atLeast"/>
        </w:trPr>
        <w:tc>
          <w:tcPr>
            <w:tcW w:w="11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年度总体目标</w:t>
            </w:r>
          </w:p>
        </w:tc>
        <w:tc>
          <w:tcPr>
            <w:tcW w:w="463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预期目标</w:t>
            </w:r>
          </w:p>
        </w:tc>
        <w:tc>
          <w:tcPr>
            <w:tcW w:w="45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实际完成情况　</w:t>
            </w:r>
          </w:p>
        </w:tc>
      </w:tr>
      <w:tr>
        <w:tblPrEx>
          <w:tblCellMar>
            <w:top w:w="0" w:type="dxa"/>
            <w:left w:w="108" w:type="dxa"/>
            <w:bottom w:w="0" w:type="dxa"/>
            <w:right w:w="108" w:type="dxa"/>
          </w:tblCellMar>
        </w:tblPrEx>
        <w:trPr>
          <w:trHeight w:val="1480" w:hRule="atLeast"/>
        </w:trPr>
        <w:tc>
          <w:tcPr>
            <w:tcW w:w="11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3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以案释法，积极走访，维稳息诉，强力推进清退工作并及时支付清退款项</w:t>
            </w:r>
          </w:p>
        </w:tc>
        <w:tc>
          <w:tcPr>
            <w:tcW w:w="451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通过以案释法，诉讼主体从400多人降至68人；全年累计走访接访300多人次，慰问困难商户20人次；经市政府多次调度，属地政府及各联系单位强推清退工作，截至12月底，清退率达96%；我单位及时支付了清退款项。北马市场搬迁项目被评为郴州市优秀惠民项目。</w:t>
            </w:r>
          </w:p>
        </w:tc>
      </w:tr>
      <w:tr>
        <w:tblPrEx>
          <w:tblCellMar>
            <w:top w:w="0" w:type="dxa"/>
            <w:left w:w="108" w:type="dxa"/>
            <w:bottom w:w="0" w:type="dxa"/>
            <w:right w:w="108" w:type="dxa"/>
          </w:tblCellMar>
        </w:tblPrEx>
        <w:trPr>
          <w:trHeight w:val="312" w:hRule="atLeast"/>
        </w:trPr>
        <w:tc>
          <w:tcPr>
            <w:tcW w:w="1113"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绩效指标</w:t>
            </w:r>
          </w:p>
        </w:tc>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一级指标</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二级指标</w:t>
            </w:r>
          </w:p>
        </w:tc>
        <w:tc>
          <w:tcPr>
            <w:tcW w:w="12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三级指标</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年度          指标值</w:t>
            </w:r>
          </w:p>
        </w:tc>
        <w:tc>
          <w:tcPr>
            <w:tcW w:w="12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实际           完成值</w:t>
            </w:r>
          </w:p>
        </w:tc>
        <w:tc>
          <w:tcPr>
            <w:tcW w:w="8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分值</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得分</w:t>
            </w:r>
          </w:p>
        </w:tc>
        <w:tc>
          <w:tcPr>
            <w:tcW w:w="17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偏差原因分析及改进措施</w:t>
            </w:r>
          </w:p>
        </w:tc>
      </w:tr>
      <w:tr>
        <w:tblPrEx>
          <w:tblCellMar>
            <w:top w:w="0" w:type="dxa"/>
            <w:left w:w="108" w:type="dxa"/>
            <w:bottom w:w="0" w:type="dxa"/>
            <w:right w:w="108" w:type="dxa"/>
          </w:tblCellMar>
        </w:tblPrEx>
        <w:trPr>
          <w:trHeight w:val="312"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7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产出指标（50分）</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数量指标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合同清退率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≥95%</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96%</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15</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15</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750"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质量指标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以案释法</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减少诉讼主体</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诉讼主体从400多人降至68人</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时效指标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及时支付清退款项</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7个工作日内付款</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7个工作日内付款</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15</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15</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50"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成本指标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资金使用率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≥75%</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85%</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效益指标（30分）</w:t>
            </w: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经济效   益指标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依法依规按清退方案进行清退</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清退保证金等</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清退保证金等</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80"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社会效   益指标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慰问困难商户</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实事求是，慰问确需帮扶的商户</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慰问困难商户20人次</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83"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生态效   益指标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面对面沟通</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119次</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300余次</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682"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可持续影响指标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维稳息诉</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无闹访现象发生</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无闹访现象发生</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111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10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满意度   指标   （10分）</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服务对象满意度 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社会公众或服务对象满意率</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≥80%</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≥80%</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6963"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总分</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 xml:space="preserve">98.50 </w:t>
            </w:r>
          </w:p>
        </w:tc>
        <w:tc>
          <w:tcPr>
            <w:tcW w:w="17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bl>
    <w:p>
      <w:pPr>
        <w:rPr>
          <w:rFonts w:ascii="宋体" w:hAnsi="宋体" w:cs="宋体"/>
          <w:color w:val="000000"/>
          <w:sz w:val="20"/>
          <w:szCs w:val="20"/>
        </w:rPr>
      </w:pPr>
      <w:r>
        <w:rPr>
          <w:rFonts w:hint="eastAsia" w:ascii="宋体" w:hAnsi="宋体" w:cs="宋体"/>
          <w:color w:val="000000"/>
          <w:sz w:val="20"/>
          <w:szCs w:val="20"/>
        </w:rPr>
        <w:t>备注：每个项目支出分别填报自评报告和自评表。</w:t>
      </w:r>
    </w:p>
    <w:p>
      <w:pPr>
        <w:rPr>
          <w:rFonts w:hint="eastAsia" w:ascii="方正小标宋简体" w:hAnsi="方正小标宋简体" w:eastAsia="方正小标宋简体" w:cs="方正小标宋简体"/>
          <w:color w:val="000000"/>
          <w:sz w:val="10"/>
          <w:szCs w:val="10"/>
        </w:rPr>
      </w:pPr>
      <w:r>
        <w:rPr>
          <w:rFonts w:hint="eastAsia" w:ascii="黑体" w:hAnsi="宋体" w:eastAsia="黑体" w:cs="黑体"/>
          <w:color w:val="000000"/>
          <w:sz w:val="32"/>
          <w:szCs w:val="32"/>
        </w:rPr>
        <w:t>附件</w:t>
      </w:r>
      <w:r>
        <w:rPr>
          <w:rStyle w:val="19"/>
          <w:rFonts w:eastAsia="黑体"/>
        </w:rPr>
        <w:t>5</w:t>
      </w:r>
      <w:r>
        <w:rPr>
          <w:rStyle w:val="19"/>
          <w:rFonts w:hint="eastAsia" w:eastAsia="黑体"/>
        </w:rPr>
        <w:t>-2</w:t>
      </w:r>
      <w:r>
        <w:rPr>
          <w:rStyle w:val="19"/>
          <w:rFonts w:hint="eastAsia" w:eastAsia="黑体"/>
          <w:lang w:val="en-US" w:eastAsia="zh-CN"/>
        </w:rPr>
        <w:t xml:space="preserve">       </w:t>
      </w:r>
      <w:r>
        <w:rPr>
          <w:rFonts w:hint="eastAsia" w:ascii="方正小标宋简体" w:hAnsi="方正小标宋简体" w:eastAsia="方正小标宋简体" w:cs="方正小标宋简体"/>
          <w:color w:val="000000"/>
          <w:sz w:val="32"/>
          <w:szCs w:val="32"/>
        </w:rPr>
        <w:t>2021年度项目支出绩效自评表</w:t>
      </w:r>
    </w:p>
    <w:tbl>
      <w:tblPr>
        <w:tblStyle w:val="5"/>
        <w:tblpPr w:leftFromText="180" w:rightFromText="180" w:vertAnchor="text" w:horzAnchor="page" w:tblpX="1245" w:tblpY="213"/>
        <w:tblOverlap w:val="never"/>
        <w:tblW w:w="10230" w:type="dxa"/>
        <w:tblInd w:w="0" w:type="dxa"/>
        <w:tblLayout w:type="fixed"/>
        <w:tblCellMar>
          <w:top w:w="0" w:type="dxa"/>
          <w:left w:w="108" w:type="dxa"/>
          <w:bottom w:w="0" w:type="dxa"/>
          <w:right w:w="108" w:type="dxa"/>
        </w:tblCellMar>
      </w:tblPr>
      <w:tblGrid>
        <w:gridCol w:w="1128"/>
        <w:gridCol w:w="1065"/>
        <w:gridCol w:w="1050"/>
        <w:gridCol w:w="1454"/>
        <w:gridCol w:w="1316"/>
        <w:gridCol w:w="1267"/>
        <w:gridCol w:w="683"/>
        <w:gridCol w:w="717"/>
        <w:gridCol w:w="1550"/>
      </w:tblGrid>
      <w:tr>
        <w:tblPrEx>
          <w:tblCellMar>
            <w:top w:w="0" w:type="dxa"/>
            <w:left w:w="108" w:type="dxa"/>
            <w:bottom w:w="0" w:type="dxa"/>
            <w:right w:w="108" w:type="dxa"/>
          </w:tblCellMar>
        </w:tblPrEx>
        <w:trPr>
          <w:trHeight w:val="240" w:hRule="atLeast"/>
        </w:trPr>
        <w:tc>
          <w:tcPr>
            <w:tcW w:w="11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项目支出名称</w:t>
            </w:r>
          </w:p>
        </w:tc>
        <w:tc>
          <w:tcPr>
            <w:tcW w:w="9102"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七星大市场钢架结构雨棚拆除费用</w:t>
            </w:r>
          </w:p>
        </w:tc>
      </w:tr>
      <w:tr>
        <w:tblPrEx>
          <w:tblCellMar>
            <w:top w:w="0" w:type="dxa"/>
            <w:left w:w="108" w:type="dxa"/>
            <w:bottom w:w="0" w:type="dxa"/>
            <w:right w:w="108" w:type="dxa"/>
          </w:tblCellMar>
        </w:tblPrEx>
        <w:trPr>
          <w:trHeight w:val="24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9102" w:type="dxa"/>
            <w:gridSpan w:val="8"/>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主管部门</w:t>
            </w:r>
          </w:p>
        </w:tc>
        <w:tc>
          <w:tcPr>
            <w:tcW w:w="488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郴州市商务局</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实施单位</w:t>
            </w:r>
          </w:p>
        </w:tc>
        <w:tc>
          <w:tcPr>
            <w:tcW w:w="295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郴州市市场服务中心</w:t>
            </w:r>
          </w:p>
        </w:tc>
      </w:tr>
      <w:tr>
        <w:tblPrEx>
          <w:tblCellMar>
            <w:top w:w="0" w:type="dxa"/>
            <w:left w:w="108" w:type="dxa"/>
            <w:bottom w:w="0" w:type="dxa"/>
            <w:right w:w="108" w:type="dxa"/>
          </w:tblCellMar>
        </w:tblPrEx>
        <w:trPr>
          <w:trHeight w:val="240" w:hRule="atLeast"/>
        </w:trPr>
        <w:tc>
          <w:tcPr>
            <w:tcW w:w="11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项目资金 （万元）</w:t>
            </w:r>
          </w:p>
        </w:tc>
        <w:tc>
          <w:tcPr>
            <w:tcW w:w="2115"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4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年初预算数</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全年      预算数</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全年     执行数</w:t>
            </w:r>
          </w:p>
        </w:tc>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分值</w:t>
            </w: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执行率</w:t>
            </w:r>
          </w:p>
        </w:tc>
        <w:tc>
          <w:tcPr>
            <w:tcW w:w="15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得分</w:t>
            </w:r>
          </w:p>
        </w:tc>
      </w:tr>
      <w:tr>
        <w:tblPrEx>
          <w:tblCellMar>
            <w:top w:w="0" w:type="dxa"/>
            <w:left w:w="108" w:type="dxa"/>
            <w:bottom w:w="0" w:type="dxa"/>
            <w:right w:w="108" w:type="dxa"/>
          </w:tblCellMar>
        </w:tblPrEx>
        <w:trPr>
          <w:trHeight w:val="24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211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年度资金总额　</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 xml:space="preserve"> 29.10 </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 xml:space="preserve"> 29.10 </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100%</w:t>
            </w:r>
          </w:p>
        </w:tc>
        <w:tc>
          <w:tcPr>
            <w:tcW w:w="1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10</w:t>
            </w:r>
          </w:p>
        </w:tc>
      </w:tr>
      <w:tr>
        <w:tblPrEx>
          <w:tblCellMar>
            <w:top w:w="0" w:type="dxa"/>
            <w:left w:w="108" w:type="dxa"/>
            <w:bottom w:w="0" w:type="dxa"/>
            <w:right w:w="108" w:type="dxa"/>
          </w:tblCellMar>
        </w:tblPrEx>
        <w:trPr>
          <w:trHeight w:val="30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其中：当年财政拨款　</w:t>
            </w:r>
          </w:p>
        </w:tc>
        <w:tc>
          <w:tcPr>
            <w:tcW w:w="145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 xml:space="preserve"> 29.10 </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上年结转资金　</w:t>
            </w:r>
          </w:p>
        </w:tc>
        <w:tc>
          <w:tcPr>
            <w:tcW w:w="145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其他资金</w:t>
            </w:r>
          </w:p>
        </w:tc>
        <w:tc>
          <w:tcPr>
            <w:tcW w:w="145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68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1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112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年度总体目标</w:t>
            </w:r>
          </w:p>
        </w:tc>
        <w:tc>
          <w:tcPr>
            <w:tcW w:w="488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预期目标</w:t>
            </w:r>
          </w:p>
        </w:tc>
        <w:tc>
          <w:tcPr>
            <w:tcW w:w="421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实际完成情况　</w:t>
            </w:r>
          </w:p>
        </w:tc>
      </w:tr>
      <w:tr>
        <w:tblPrEx>
          <w:tblCellMar>
            <w:top w:w="0" w:type="dxa"/>
            <w:left w:w="108" w:type="dxa"/>
            <w:bottom w:w="0" w:type="dxa"/>
            <w:right w:w="108" w:type="dxa"/>
          </w:tblCellMar>
        </w:tblPrEx>
        <w:trPr>
          <w:trHeight w:val="585" w:hRule="atLeast"/>
        </w:trPr>
        <w:tc>
          <w:tcPr>
            <w:tcW w:w="112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488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安全拆除七星大市场钢架结构雨棚并及时足额支付工程款</w:t>
            </w:r>
          </w:p>
        </w:tc>
        <w:tc>
          <w:tcPr>
            <w:tcW w:w="421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已安全拆除并支付工程款</w:t>
            </w:r>
          </w:p>
        </w:tc>
      </w:tr>
      <w:tr>
        <w:tblPrEx>
          <w:tblCellMar>
            <w:top w:w="0" w:type="dxa"/>
            <w:left w:w="108" w:type="dxa"/>
            <w:bottom w:w="0" w:type="dxa"/>
            <w:right w:w="108" w:type="dxa"/>
          </w:tblCellMar>
        </w:tblPrEx>
        <w:trPr>
          <w:trHeight w:val="240" w:hRule="atLeast"/>
        </w:trPr>
        <w:tc>
          <w:tcPr>
            <w:tcW w:w="1128" w:type="dxa"/>
            <w:vMerge w:val="restart"/>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绩效指标</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一级指标</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二级指标</w:t>
            </w:r>
          </w:p>
        </w:tc>
        <w:tc>
          <w:tcPr>
            <w:tcW w:w="14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三级指标</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 xml:space="preserve">年度    </w:t>
            </w:r>
          </w:p>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 xml:space="preserve"> 指标值</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实际     完成值</w:t>
            </w:r>
          </w:p>
        </w:tc>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分值</w:t>
            </w: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得分</w:t>
            </w:r>
          </w:p>
        </w:tc>
        <w:tc>
          <w:tcPr>
            <w:tcW w:w="15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偏差原因分析及改进措施</w:t>
            </w:r>
          </w:p>
        </w:tc>
      </w:tr>
      <w:tr>
        <w:tblPrEx>
          <w:tblCellMar>
            <w:top w:w="0" w:type="dxa"/>
            <w:left w:w="108" w:type="dxa"/>
            <w:bottom w:w="0" w:type="dxa"/>
            <w:right w:w="108" w:type="dxa"/>
          </w:tblCellMar>
        </w:tblPrEx>
        <w:trPr>
          <w:trHeight w:val="240"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0"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45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82"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restart"/>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产出指标（50分）</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数量指标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处置收益</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处置收益≥26.15万元</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拍卖收入47.95万元</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666"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质量指标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成功处置拆除物资</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成功拍卖</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一次成功</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时效指标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及时支付工程款</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12月31日前付款</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已支付</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20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20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成本指标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工程成本控制率</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不超过工程预算的10%</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工程结算款略低于工程预算</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60"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restart"/>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效益指标（30分）</w:t>
            </w: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经济     效益指标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处置净收益</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拆除成本≦处置收益</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拆除成本29.10万元处置收益47.95万元</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1200"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社会     效益指标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推进老专项市场搬迁</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为搬迁至中国供销郴州农副产品物流园的商户做好服务</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服务效果较好，物流园经营步入正轨</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生态     效益指标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保持原七星大市场清洁</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督促日保洁</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300余次</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50"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可持续   影响指标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消除安全隐患</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全年无安全事故发生</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全年无安全事故发生</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1128"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065"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满意度   指标   （10分）</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服务对象  满意度     指标</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社会公众或服务对象     满意率</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≥90%</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≥90%</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728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总分</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100</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bl>
    <w:p>
      <w:pPr>
        <w:rPr>
          <w:rFonts w:ascii="宋体" w:hAnsi="宋体" w:cs="宋体"/>
          <w:color w:val="000000"/>
          <w:sz w:val="20"/>
          <w:szCs w:val="20"/>
        </w:rPr>
      </w:pPr>
      <w:r>
        <w:rPr>
          <w:rFonts w:hint="eastAsia" w:ascii="宋体" w:hAnsi="宋体" w:cs="宋体"/>
          <w:color w:val="000000"/>
          <w:sz w:val="20"/>
          <w:szCs w:val="20"/>
        </w:rPr>
        <w:t>备注：每个项目支出分别填报自评报告和自评表。</w:t>
      </w:r>
    </w:p>
    <w:p>
      <w:pPr>
        <w:rPr>
          <w:rFonts w:hint="eastAsia" w:ascii="方正小标宋简体" w:hAnsi="方正小标宋简体" w:eastAsia="方正小标宋简体" w:cs="方正小标宋简体"/>
          <w:color w:val="000000"/>
          <w:sz w:val="10"/>
          <w:szCs w:val="10"/>
        </w:rPr>
      </w:pPr>
      <w:r>
        <w:rPr>
          <w:rFonts w:hint="eastAsia" w:ascii="黑体" w:hAnsi="宋体" w:eastAsia="黑体" w:cs="黑体"/>
          <w:color w:val="000000"/>
          <w:sz w:val="32"/>
          <w:szCs w:val="32"/>
        </w:rPr>
        <w:t>附件</w:t>
      </w:r>
      <w:r>
        <w:rPr>
          <w:rFonts w:ascii="Times New Roman" w:hAnsi="Times New Roman" w:eastAsia="黑体"/>
          <w:color w:val="000000"/>
          <w:sz w:val="32"/>
          <w:szCs w:val="32"/>
        </w:rPr>
        <w:t>5</w:t>
      </w:r>
      <w:r>
        <w:rPr>
          <w:rFonts w:hint="eastAsia" w:ascii="Times New Roman" w:hAnsi="Times New Roman" w:eastAsia="黑体"/>
          <w:color w:val="000000"/>
          <w:sz w:val="32"/>
          <w:szCs w:val="32"/>
        </w:rPr>
        <w:t>-3</w:t>
      </w:r>
      <w:r>
        <w:rPr>
          <w:rFonts w:hint="eastAsia" w:ascii="Times New Roman" w:hAnsi="Times New Roman" w:eastAsia="黑体"/>
          <w:color w:val="000000"/>
          <w:sz w:val="32"/>
          <w:szCs w:val="32"/>
          <w:lang w:val="en-US" w:eastAsia="zh-CN"/>
        </w:rPr>
        <w:t xml:space="preserve">          </w:t>
      </w:r>
      <w:r>
        <w:rPr>
          <w:rFonts w:hint="eastAsia" w:ascii="方正小标宋简体" w:hAnsi="方正小标宋简体" w:eastAsia="方正小标宋简体" w:cs="方正小标宋简体"/>
          <w:color w:val="000000"/>
          <w:sz w:val="32"/>
          <w:szCs w:val="32"/>
        </w:rPr>
        <w:t>2021年度项目支出绩效自评表</w:t>
      </w:r>
    </w:p>
    <w:p>
      <w:pPr>
        <w:rPr>
          <w:rFonts w:hint="eastAsia" w:ascii="方正小标宋简体" w:hAnsi="方正小标宋简体" w:eastAsia="方正小标宋简体" w:cs="方正小标宋简体"/>
          <w:color w:val="000000"/>
          <w:sz w:val="10"/>
          <w:szCs w:val="10"/>
        </w:rPr>
      </w:pPr>
    </w:p>
    <w:tbl>
      <w:tblPr>
        <w:tblStyle w:val="5"/>
        <w:tblpPr w:leftFromText="180" w:rightFromText="180" w:vertAnchor="text" w:horzAnchor="page" w:tblpX="1200" w:tblpY="177"/>
        <w:tblOverlap w:val="never"/>
        <w:tblW w:w="10143" w:type="dxa"/>
        <w:tblInd w:w="0" w:type="dxa"/>
        <w:tblLayout w:type="fixed"/>
        <w:tblCellMar>
          <w:top w:w="0" w:type="dxa"/>
          <w:left w:w="108" w:type="dxa"/>
          <w:bottom w:w="0" w:type="dxa"/>
          <w:right w:w="108" w:type="dxa"/>
        </w:tblCellMar>
      </w:tblPr>
      <w:tblGrid>
        <w:gridCol w:w="993"/>
        <w:gridCol w:w="1245"/>
        <w:gridCol w:w="1275"/>
        <w:gridCol w:w="1380"/>
        <w:gridCol w:w="1095"/>
        <w:gridCol w:w="1050"/>
        <w:gridCol w:w="930"/>
        <w:gridCol w:w="870"/>
        <w:gridCol w:w="1305"/>
      </w:tblGrid>
      <w:tr>
        <w:tblPrEx>
          <w:tblCellMar>
            <w:top w:w="0" w:type="dxa"/>
            <w:left w:w="108" w:type="dxa"/>
            <w:bottom w:w="0" w:type="dxa"/>
            <w:right w:w="108" w:type="dxa"/>
          </w:tblCellMar>
        </w:tblPrEx>
        <w:trPr>
          <w:trHeight w:val="312"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项目支出名称</w:t>
            </w:r>
          </w:p>
        </w:tc>
        <w:tc>
          <w:tcPr>
            <w:tcW w:w="9150" w:type="dxa"/>
            <w:gridSpan w:val="8"/>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市中心城区农产品批发市场搬迁资金（预备费）</w:t>
            </w:r>
          </w:p>
        </w:tc>
      </w:tr>
      <w:tr>
        <w:tblPrEx>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150" w:type="dxa"/>
            <w:gridSpan w:val="8"/>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主管  部门</w:t>
            </w:r>
          </w:p>
        </w:tc>
        <w:tc>
          <w:tcPr>
            <w:tcW w:w="49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郴州市商务局</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实施单位</w:t>
            </w:r>
          </w:p>
        </w:tc>
        <w:tc>
          <w:tcPr>
            <w:tcW w:w="310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郴州市市场服务中心</w:t>
            </w:r>
          </w:p>
        </w:tc>
      </w:tr>
      <w:tr>
        <w:tblPrEx>
          <w:tblCellMar>
            <w:top w:w="0" w:type="dxa"/>
            <w:left w:w="108" w:type="dxa"/>
            <w:bottom w:w="0" w:type="dxa"/>
            <w:right w:w="108" w:type="dxa"/>
          </w:tblCellMar>
        </w:tblPrEx>
        <w:trPr>
          <w:trHeight w:val="312"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  资金  （万元）</w:t>
            </w:r>
          </w:p>
        </w:tc>
        <w:tc>
          <w:tcPr>
            <w:tcW w:w="252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年初预算数</w:t>
            </w:r>
          </w:p>
        </w:tc>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全年         预算数</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全年     执行数</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分值</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执行率</w:t>
            </w:r>
          </w:p>
        </w:tc>
        <w:tc>
          <w:tcPr>
            <w:tcW w:w="13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得分</w:t>
            </w:r>
          </w:p>
        </w:tc>
      </w:tr>
      <w:tr>
        <w:tblPrEx>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年度资金总额　</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0</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 xml:space="preserve"> 80.00 </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 xml:space="preserve"> 72.68 </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91%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 xml:space="preserve"> 9.10 </w:t>
            </w:r>
          </w:p>
        </w:tc>
      </w:tr>
      <w:tr>
        <w:tblPrEx>
          <w:tblCellMar>
            <w:top w:w="0" w:type="dxa"/>
            <w:left w:w="108" w:type="dxa"/>
            <w:bottom w:w="0" w:type="dxa"/>
            <w:right w:w="108" w:type="dxa"/>
          </w:tblCellMar>
        </w:tblPrEx>
        <w:trPr>
          <w:trHeight w:val="300"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其中：当年财政拨款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 xml:space="preserve"> 80.00 </w:t>
            </w: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上年结转资金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300"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25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其他资金</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402" w:hRule="atLeast"/>
        </w:trPr>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年度总体目标</w:t>
            </w:r>
          </w:p>
        </w:tc>
        <w:tc>
          <w:tcPr>
            <w:tcW w:w="49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预期目标</w:t>
            </w:r>
          </w:p>
        </w:tc>
        <w:tc>
          <w:tcPr>
            <w:tcW w:w="41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实际完成情况　</w:t>
            </w:r>
          </w:p>
        </w:tc>
      </w:tr>
      <w:tr>
        <w:tblPrEx>
          <w:tblCellMar>
            <w:top w:w="0" w:type="dxa"/>
            <w:left w:w="108" w:type="dxa"/>
            <w:bottom w:w="0" w:type="dxa"/>
            <w:right w:w="108" w:type="dxa"/>
          </w:tblCellMar>
        </w:tblPrEx>
        <w:trPr>
          <w:trHeight w:val="585" w:hRule="atLeast"/>
        </w:trPr>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安全拆除七星大市场钢架结构雨棚并及时足额支付工程款</w:t>
            </w:r>
          </w:p>
        </w:tc>
        <w:tc>
          <w:tcPr>
            <w:tcW w:w="41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已安全拆除并支付工程款</w:t>
            </w:r>
          </w:p>
        </w:tc>
      </w:tr>
      <w:tr>
        <w:tblPrEx>
          <w:tblCellMar>
            <w:top w:w="0" w:type="dxa"/>
            <w:left w:w="108" w:type="dxa"/>
            <w:bottom w:w="0" w:type="dxa"/>
            <w:right w:w="108" w:type="dxa"/>
          </w:tblCellMar>
        </w:tblPrEx>
        <w:trPr>
          <w:trHeight w:val="312" w:hRule="atLeast"/>
        </w:trPr>
        <w:tc>
          <w:tcPr>
            <w:tcW w:w="993"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绩效  指标</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二级指标</w:t>
            </w: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三级指标</w:t>
            </w:r>
          </w:p>
        </w:tc>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年度         指标值</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实际     完成值</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分值</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得分</w:t>
            </w:r>
          </w:p>
        </w:tc>
        <w:tc>
          <w:tcPr>
            <w:tcW w:w="13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偏差原因分析及改进措施</w:t>
            </w:r>
          </w:p>
        </w:tc>
      </w:tr>
      <w:tr>
        <w:tblPrEx>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12"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694"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restart"/>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产出指标（50分）</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数量指标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农批业态搬迁率</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690"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质量指标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清理场地</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清空场地</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清空并实施封闭</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时效指标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及时支付各项费用</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12月31日前付款</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资金到位后按程序支付已发生费用</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20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20</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成本指标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控制搬迁成本</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搬迁成本不超过预算</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搬迁成本未超过预算</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615"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restart"/>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效益指标（30分）</w:t>
            </w:r>
          </w:p>
        </w:tc>
        <w:tc>
          <w:tcPr>
            <w:tcW w:w="1275"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经济效   益指标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清产核资</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进行专项审计</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已完成审计</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570"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275"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社会效   益指标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排除安全隐患</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确保场内安全</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场内安全</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275"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生态效   益指标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优化市场周边环境</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确保卫生及秩序</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卫生及秩序良好</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vMerge w:val="continue"/>
            <w:tcBorders>
              <w:top w:val="single" w:color="000000" w:sz="4" w:space="0"/>
              <w:left w:val="single" w:color="000000" w:sz="4" w:space="0"/>
              <w:bottom w:val="nil"/>
              <w:right w:val="single" w:color="000000" w:sz="4" w:space="0"/>
            </w:tcBorders>
            <w:vAlign w:val="center"/>
          </w:tcPr>
          <w:p>
            <w:pPr>
              <w:spacing w:line="240" w:lineRule="exact"/>
              <w:jc w:val="center"/>
              <w:rPr>
                <w:rFonts w:ascii="宋体" w:hAnsi="宋体" w:cs="宋体"/>
                <w:color w:val="000000"/>
                <w:sz w:val="20"/>
                <w:szCs w:val="20"/>
              </w:rPr>
            </w:pPr>
          </w:p>
        </w:tc>
        <w:tc>
          <w:tcPr>
            <w:tcW w:w="1275"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可持续影响指标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跟踪走访部分搬迁商户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≥10人次</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≥10人次</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799" w:hRule="atLeast"/>
        </w:trPr>
        <w:tc>
          <w:tcPr>
            <w:tcW w:w="993"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cs="宋体"/>
                <w:color w:val="000000"/>
                <w:sz w:val="20"/>
                <w:szCs w:val="20"/>
              </w:rPr>
            </w:pPr>
          </w:p>
        </w:tc>
        <w:tc>
          <w:tcPr>
            <w:tcW w:w="1245" w:type="dxa"/>
            <w:tcBorders>
              <w:top w:val="single" w:color="000000" w:sz="4" w:space="0"/>
              <w:left w:val="single" w:color="000000" w:sz="4" w:space="0"/>
              <w:bottom w:val="nil"/>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满意度   指标    （10分）</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服务对象满意度指标</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社会公众或服务对象满意率</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≥90%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s="宋体"/>
                <w:color w:val="000000"/>
                <w:sz w:val="20"/>
                <w:szCs w:val="20"/>
              </w:rPr>
            </w:pPr>
            <w:r>
              <w:rPr>
                <w:rFonts w:hint="eastAsia" w:ascii="宋体" w:hAnsi="宋体" w:cs="宋体"/>
                <w:color w:val="000000"/>
                <w:sz w:val="20"/>
                <w:szCs w:val="20"/>
              </w:rPr>
              <w:t>≥90%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cs="宋体"/>
                <w:color w:val="000000"/>
                <w:sz w:val="20"/>
                <w:szCs w:val="20"/>
              </w:rPr>
            </w:pPr>
          </w:p>
        </w:tc>
      </w:tr>
      <w:tr>
        <w:tblPrEx>
          <w:tblCellMar>
            <w:top w:w="0" w:type="dxa"/>
            <w:left w:w="108" w:type="dxa"/>
            <w:bottom w:w="0" w:type="dxa"/>
            <w:right w:w="108" w:type="dxa"/>
          </w:tblCellMar>
        </w:tblPrEx>
        <w:trPr>
          <w:trHeight w:val="499" w:hRule="atLeast"/>
        </w:trPr>
        <w:tc>
          <w:tcPr>
            <w:tcW w:w="7038"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总分</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100</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20"/>
                <w:szCs w:val="20"/>
              </w:rPr>
            </w:pPr>
            <w:r>
              <w:rPr>
                <w:rFonts w:hint="eastAsia" w:ascii="宋体" w:hAnsi="宋体" w:cs="宋体"/>
                <w:color w:val="000000"/>
                <w:sz w:val="20"/>
                <w:szCs w:val="20"/>
              </w:rPr>
              <w:t xml:space="preserve"> 99.10 </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color w:val="000000"/>
                <w:sz w:val="20"/>
                <w:szCs w:val="20"/>
              </w:rPr>
            </w:pPr>
          </w:p>
        </w:tc>
      </w:tr>
    </w:tbl>
    <w:p>
      <w:pPr>
        <w:rPr>
          <w:rFonts w:ascii="宋体" w:hAnsi="宋体" w:cs="宋体"/>
          <w:color w:val="000000"/>
          <w:sz w:val="20"/>
          <w:szCs w:val="20"/>
        </w:rPr>
      </w:pPr>
      <w:r>
        <w:rPr>
          <w:rFonts w:hint="eastAsia" w:ascii="宋体" w:hAnsi="宋体" w:cs="宋体"/>
          <w:color w:val="000000"/>
          <w:sz w:val="20"/>
          <w:szCs w:val="20"/>
        </w:rPr>
        <w:t>备注：每个项目支出分别填报自评报告和自评表。</w:t>
      </w:r>
    </w:p>
    <w:p>
      <w:pPr>
        <w:ind w:firstLine="640" w:firstLineChars="200"/>
        <w:jc w:val="left"/>
        <w:rPr>
          <w:rFonts w:cs="黑体" w:asciiTheme="minorEastAsia" w:hAnsiTheme="minorEastAsia"/>
          <w:color w:val="000000"/>
          <w:kern w:val="0"/>
          <w:sz w:val="32"/>
          <w:szCs w:val="32"/>
        </w:rPr>
      </w:pPr>
    </w:p>
    <w:sectPr>
      <w:pgSz w:w="11906" w:h="16838"/>
      <w:pgMar w:top="1457" w:right="1570" w:bottom="1457" w:left="157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B2EEB"/>
    <w:multiLevelType w:val="singleLevel"/>
    <w:tmpl w:val="8D2B2EEB"/>
    <w:lvl w:ilvl="0" w:tentative="0">
      <w:start w:val="1"/>
      <w:numFmt w:val="chineseCounting"/>
      <w:suff w:val="nothing"/>
      <w:lvlText w:val="%1、"/>
      <w:lvlJc w:val="left"/>
      <w:rPr>
        <w:rFonts w:hint="eastAsia"/>
      </w:rPr>
    </w:lvl>
  </w:abstractNum>
  <w:abstractNum w:abstractNumId="1">
    <w:nsid w:val="11D40335"/>
    <w:multiLevelType w:val="singleLevel"/>
    <w:tmpl w:val="11D40335"/>
    <w:lvl w:ilvl="0" w:tentative="0">
      <w:start w:val="10"/>
      <w:numFmt w:val="chineseCounting"/>
      <w:suff w:val="nothing"/>
      <w:lvlText w:val="%1、"/>
      <w:lvlJc w:val="left"/>
      <w:rPr>
        <w:rFonts w:hint="eastAsia"/>
      </w:rPr>
    </w:lvl>
  </w:abstractNum>
  <w:abstractNum w:abstractNumId="2">
    <w:nsid w:val="1C9F3C9D"/>
    <w:multiLevelType w:val="multilevel"/>
    <w:tmpl w:val="1C9F3C9D"/>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BA34BFC"/>
    <w:multiLevelType w:val="multilevel"/>
    <w:tmpl w:val="5BA34BFC"/>
    <w:lvl w:ilvl="0" w:tentative="0">
      <w:start w:val="1"/>
      <w:numFmt w:val="ideographEnclosedCircle"/>
      <w:lvlText w:val="%1"/>
      <w:lvlJc w:val="left"/>
      <w:pPr>
        <w:ind w:left="954" w:hanging="360"/>
      </w:pPr>
      <w:rPr>
        <w:rFonts w:hint="default"/>
      </w:rPr>
    </w:lvl>
    <w:lvl w:ilvl="1" w:tentative="0">
      <w:start w:val="1"/>
      <w:numFmt w:val="lowerLetter"/>
      <w:lvlText w:val="%2)"/>
      <w:lvlJc w:val="left"/>
      <w:pPr>
        <w:ind w:left="1434" w:hanging="420"/>
      </w:pPr>
    </w:lvl>
    <w:lvl w:ilvl="2" w:tentative="0">
      <w:start w:val="1"/>
      <w:numFmt w:val="lowerRoman"/>
      <w:lvlText w:val="%3."/>
      <w:lvlJc w:val="right"/>
      <w:pPr>
        <w:ind w:left="1854" w:hanging="420"/>
      </w:pPr>
    </w:lvl>
    <w:lvl w:ilvl="3" w:tentative="0">
      <w:start w:val="1"/>
      <w:numFmt w:val="decimal"/>
      <w:lvlText w:val="%4."/>
      <w:lvlJc w:val="left"/>
      <w:pPr>
        <w:ind w:left="2274" w:hanging="420"/>
      </w:pPr>
    </w:lvl>
    <w:lvl w:ilvl="4" w:tentative="0">
      <w:start w:val="1"/>
      <w:numFmt w:val="lowerLetter"/>
      <w:lvlText w:val="%5)"/>
      <w:lvlJc w:val="left"/>
      <w:pPr>
        <w:ind w:left="2694" w:hanging="420"/>
      </w:pPr>
    </w:lvl>
    <w:lvl w:ilvl="5" w:tentative="0">
      <w:start w:val="1"/>
      <w:numFmt w:val="lowerRoman"/>
      <w:lvlText w:val="%6."/>
      <w:lvlJc w:val="right"/>
      <w:pPr>
        <w:ind w:left="3114" w:hanging="420"/>
      </w:pPr>
    </w:lvl>
    <w:lvl w:ilvl="6" w:tentative="0">
      <w:start w:val="1"/>
      <w:numFmt w:val="decimal"/>
      <w:lvlText w:val="%7."/>
      <w:lvlJc w:val="left"/>
      <w:pPr>
        <w:ind w:left="3534" w:hanging="420"/>
      </w:pPr>
    </w:lvl>
    <w:lvl w:ilvl="7" w:tentative="0">
      <w:start w:val="1"/>
      <w:numFmt w:val="lowerLetter"/>
      <w:lvlText w:val="%8)"/>
      <w:lvlJc w:val="left"/>
      <w:pPr>
        <w:ind w:left="3954" w:hanging="420"/>
      </w:pPr>
    </w:lvl>
    <w:lvl w:ilvl="8" w:tentative="0">
      <w:start w:val="1"/>
      <w:numFmt w:val="lowerRoman"/>
      <w:lvlText w:val="%9."/>
      <w:lvlJc w:val="right"/>
      <w:pPr>
        <w:ind w:left="4374"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MDI3Y2QzYjM1NWIyNjRiNDNlODk4YjE0MjEyZD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537C1"/>
    <w:rsid w:val="0037197D"/>
    <w:rsid w:val="003768D5"/>
    <w:rsid w:val="003C4197"/>
    <w:rsid w:val="003C47E6"/>
    <w:rsid w:val="003C4FC2"/>
    <w:rsid w:val="003E2331"/>
    <w:rsid w:val="00405888"/>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63A7"/>
    <w:rsid w:val="008277D9"/>
    <w:rsid w:val="0084478C"/>
    <w:rsid w:val="0086638C"/>
    <w:rsid w:val="008A3E8D"/>
    <w:rsid w:val="008D313A"/>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284490"/>
    <w:rsid w:val="060E01CF"/>
    <w:rsid w:val="069A01B6"/>
    <w:rsid w:val="0785622D"/>
    <w:rsid w:val="0C6C4AB4"/>
    <w:rsid w:val="0C923042"/>
    <w:rsid w:val="0D04253E"/>
    <w:rsid w:val="0EF80E8F"/>
    <w:rsid w:val="0F2137C6"/>
    <w:rsid w:val="0F9D6A3F"/>
    <w:rsid w:val="0FCB3337"/>
    <w:rsid w:val="133F7162"/>
    <w:rsid w:val="144B07D6"/>
    <w:rsid w:val="145D4195"/>
    <w:rsid w:val="156127C7"/>
    <w:rsid w:val="158F6A27"/>
    <w:rsid w:val="173A0B7C"/>
    <w:rsid w:val="1761330E"/>
    <w:rsid w:val="18B92DDF"/>
    <w:rsid w:val="1A5C156A"/>
    <w:rsid w:val="1C273FC7"/>
    <w:rsid w:val="1C5C167B"/>
    <w:rsid w:val="1E1A25FE"/>
    <w:rsid w:val="1EC3611C"/>
    <w:rsid w:val="1F7A39BF"/>
    <w:rsid w:val="20026D73"/>
    <w:rsid w:val="20E83C71"/>
    <w:rsid w:val="21597E04"/>
    <w:rsid w:val="21661111"/>
    <w:rsid w:val="22CA6694"/>
    <w:rsid w:val="252C4420"/>
    <w:rsid w:val="2593449F"/>
    <w:rsid w:val="259C3A29"/>
    <w:rsid w:val="26B71E93"/>
    <w:rsid w:val="2A0E3239"/>
    <w:rsid w:val="2B801021"/>
    <w:rsid w:val="2BD378FE"/>
    <w:rsid w:val="2D122DC7"/>
    <w:rsid w:val="2D593910"/>
    <w:rsid w:val="2F4E3FEE"/>
    <w:rsid w:val="319516F4"/>
    <w:rsid w:val="31FB713A"/>
    <w:rsid w:val="335F4C71"/>
    <w:rsid w:val="3406060A"/>
    <w:rsid w:val="343B642D"/>
    <w:rsid w:val="3464057A"/>
    <w:rsid w:val="34833D7D"/>
    <w:rsid w:val="3498542C"/>
    <w:rsid w:val="35F83386"/>
    <w:rsid w:val="36480D8A"/>
    <w:rsid w:val="370221A5"/>
    <w:rsid w:val="37773A53"/>
    <w:rsid w:val="38102C39"/>
    <w:rsid w:val="3A14753F"/>
    <w:rsid w:val="3ADE3FB6"/>
    <w:rsid w:val="3D987383"/>
    <w:rsid w:val="3E3C1B9A"/>
    <w:rsid w:val="3EE2108C"/>
    <w:rsid w:val="3EEA0993"/>
    <w:rsid w:val="400F1E6B"/>
    <w:rsid w:val="41A04200"/>
    <w:rsid w:val="421F4DB2"/>
    <w:rsid w:val="42715AD0"/>
    <w:rsid w:val="44CC6121"/>
    <w:rsid w:val="456B28EB"/>
    <w:rsid w:val="45D7020D"/>
    <w:rsid w:val="45FB588C"/>
    <w:rsid w:val="467619D5"/>
    <w:rsid w:val="46A14816"/>
    <w:rsid w:val="46C10A14"/>
    <w:rsid w:val="489B5295"/>
    <w:rsid w:val="491C6AFA"/>
    <w:rsid w:val="4A772564"/>
    <w:rsid w:val="4BBE4F6C"/>
    <w:rsid w:val="4BEE0F77"/>
    <w:rsid w:val="4CD36635"/>
    <w:rsid w:val="4E5B5471"/>
    <w:rsid w:val="4FC4134D"/>
    <w:rsid w:val="525F5585"/>
    <w:rsid w:val="54465448"/>
    <w:rsid w:val="551F4611"/>
    <w:rsid w:val="55814A71"/>
    <w:rsid w:val="56256E96"/>
    <w:rsid w:val="563C5672"/>
    <w:rsid w:val="566B2BA6"/>
    <w:rsid w:val="577B59F9"/>
    <w:rsid w:val="595A684A"/>
    <w:rsid w:val="5A3E341D"/>
    <w:rsid w:val="5C2662FE"/>
    <w:rsid w:val="5D6118C9"/>
    <w:rsid w:val="60A70D54"/>
    <w:rsid w:val="635B5EE9"/>
    <w:rsid w:val="66BE7558"/>
    <w:rsid w:val="68307239"/>
    <w:rsid w:val="6A0643F2"/>
    <w:rsid w:val="6B19414D"/>
    <w:rsid w:val="6B7D1213"/>
    <w:rsid w:val="6D947FE9"/>
    <w:rsid w:val="6DF20BCA"/>
    <w:rsid w:val="6F226D64"/>
    <w:rsid w:val="6F4D4C8B"/>
    <w:rsid w:val="6FC95729"/>
    <w:rsid w:val="704D26BE"/>
    <w:rsid w:val="70E231B1"/>
    <w:rsid w:val="711F0789"/>
    <w:rsid w:val="71E11004"/>
    <w:rsid w:val="72723308"/>
    <w:rsid w:val="72DB0B26"/>
    <w:rsid w:val="741D6630"/>
    <w:rsid w:val="74273CFD"/>
    <w:rsid w:val="74BD1F6B"/>
    <w:rsid w:val="75A9488E"/>
    <w:rsid w:val="766B0D4A"/>
    <w:rsid w:val="76763C86"/>
    <w:rsid w:val="76FC439C"/>
    <w:rsid w:val="7867302D"/>
    <w:rsid w:val="79902737"/>
    <w:rsid w:val="7A0F6893"/>
    <w:rsid w:val="7B7DD51A"/>
    <w:rsid w:val="7FA06711"/>
    <w:rsid w:val="7FBD66CE"/>
    <w:rsid w:val="7FFE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BodyText1I"/>
    <w:basedOn w:val="1"/>
    <w:qFormat/>
    <w:uiPriority w:val="99"/>
    <w:pPr>
      <w:spacing w:after="120"/>
      <w:ind w:firstLine="420"/>
    </w:pPr>
    <w:rPr>
      <w:rFonts w:asciiTheme="minorHAnsi" w:hAnsiTheme="minorHAnsi" w:eastAsiaTheme="minorEastAsia" w:cstheme="minorBidi"/>
      <w:kern w:val="1"/>
      <w:sz w:val="21"/>
      <w:szCs w:val="22"/>
    </w:rPr>
  </w:style>
  <w:style w:type="character" w:customStyle="1" w:styleId="13">
    <w:name w:val="NormalCharacter"/>
    <w:link w:val="14"/>
    <w:qFormat/>
    <w:uiPriority w:val="0"/>
    <w:rPr>
      <w:rFonts w:ascii="Calibri" w:hAnsi="Calibri" w:eastAsia="宋体" w:cs="Calibri"/>
      <w:kern w:val="2"/>
      <w:sz w:val="21"/>
      <w:szCs w:val="21"/>
      <w:lang w:val="en-US" w:eastAsia="zh-CN" w:bidi="ar-SA"/>
    </w:rPr>
  </w:style>
  <w:style w:type="paragraph" w:customStyle="1" w:styleId="14">
    <w:name w:val="UserStyle_1"/>
    <w:link w:val="13"/>
    <w:qFormat/>
    <w:uiPriority w:val="0"/>
    <w:pPr>
      <w:jc w:val="both"/>
    </w:pPr>
    <w:rPr>
      <w:rFonts w:ascii="Calibri" w:hAnsi="Calibri" w:eastAsia="宋体" w:cs="Calibri"/>
      <w:kern w:val="2"/>
      <w:sz w:val="21"/>
      <w:szCs w:val="21"/>
      <w:lang w:val="en-US" w:eastAsia="zh-CN" w:bidi="ar-SA"/>
    </w:rPr>
  </w:style>
  <w:style w:type="character" w:customStyle="1" w:styleId="15">
    <w:name w:val="font41"/>
    <w:basedOn w:val="6"/>
    <w:qFormat/>
    <w:uiPriority w:val="0"/>
    <w:rPr>
      <w:rFonts w:hint="default" w:ascii="Times New Roman" w:hAnsi="Times New Roman" w:cs="Times New Roman"/>
      <w:color w:val="000000"/>
      <w:sz w:val="32"/>
      <w:szCs w:val="32"/>
      <w:u w:val="none"/>
    </w:rPr>
  </w:style>
  <w:style w:type="character" w:customStyle="1" w:styleId="16">
    <w:name w:val="font01"/>
    <w:basedOn w:val="6"/>
    <w:qFormat/>
    <w:uiPriority w:val="0"/>
    <w:rPr>
      <w:rFonts w:hint="eastAsia" w:ascii="宋体" w:hAnsi="宋体" w:eastAsia="宋体" w:cs="宋体"/>
      <w:color w:val="000000"/>
      <w:sz w:val="20"/>
      <w:szCs w:val="20"/>
      <w:u w:val="none"/>
    </w:rPr>
  </w:style>
  <w:style w:type="character" w:customStyle="1" w:styleId="17">
    <w:name w:val="font51"/>
    <w:basedOn w:val="6"/>
    <w:qFormat/>
    <w:uiPriority w:val="0"/>
    <w:rPr>
      <w:rFonts w:hint="default" w:ascii="Times New Roman" w:hAnsi="Times New Roman" w:cs="Times New Roman"/>
      <w:color w:val="000000"/>
      <w:sz w:val="32"/>
      <w:szCs w:val="32"/>
      <w:u w:val="none"/>
    </w:rPr>
  </w:style>
  <w:style w:type="character" w:customStyle="1" w:styleId="18">
    <w:name w:val="font11"/>
    <w:basedOn w:val="6"/>
    <w:qFormat/>
    <w:uiPriority w:val="0"/>
    <w:rPr>
      <w:rFonts w:hint="default" w:ascii="Times New Roman" w:hAnsi="Times New Roman" w:cs="Times New Roman"/>
      <w:color w:val="000000"/>
      <w:sz w:val="32"/>
      <w:szCs w:val="32"/>
      <w:u w:val="none"/>
    </w:rPr>
  </w:style>
  <w:style w:type="character" w:customStyle="1" w:styleId="19">
    <w:name w:val="font21"/>
    <w:basedOn w:val="6"/>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52</Pages>
  <Words>18405</Words>
  <Characters>22827</Characters>
  <Lines>69</Lines>
  <Paragraphs>19</Paragraphs>
  <TotalTime>4</TotalTime>
  <ScaleCrop>false</ScaleCrop>
  <LinksUpToDate>false</LinksUpToDate>
  <CharactersWithSpaces>24029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2022-09-29T03:21:00Z</cp:lastPrinted>
  <dcterms:modified xsi:type="dcterms:W3CDTF">2022-09-29T08:49:16Z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56D0997687C543048CC437F5CB922958</vt:lpwstr>
  </property>
</Properties>
</file>